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23"/>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23"/>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南医大常州医疗健康科技园新建工程一期动物学与细胞培养仪器设备采购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bCs/>
          <w:sz w:val="36"/>
          <w:szCs w:val="36"/>
        </w:rPr>
        <w:t xml:space="preserve">JSZC-320412-XHJS-G2025-0054</w:t>
      </w:r>
      <w:r>
        <w:rPr>
          <w:rFonts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72"/>
        <w:spacing w:line="360" w:lineRule="auto"/>
        <w:rPr>
          <w:rFonts w:ascii="Calibri" w:hAnsi="Calibri"/>
          <w:b w:val="0"/>
          <w:sz w:val="21"/>
          <w:szCs w:val="22"/>
        </w:rPr>
      </w:pPr>
      <w:r>
        <w:rPr>
          <w:rFonts w:ascii="Calibri" w:hAnsi="Calibri"/>
          <w:b w:val="0"/>
          <w:sz w:val="21"/>
          <w:szCs w:val="22"/>
        </w:rPr>
      </w:r>
      <w:r/>
    </w:p>
    <w:p>
      <w:pPr>
        <w:pStyle w:val="972"/>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23"/>
        <w:rPr>
          <w:rFonts w:hint="eastAsia"/>
          <w:color w:val="auto"/>
        </w:rPr>
      </w:pPr>
      <w:r>
        <w:rPr>
          <w:rFonts w:hint="eastAsia"/>
          <w:color w:val="auto"/>
        </w:rPr>
      </w:r>
      <w:r/>
    </w:p>
    <w:p>
      <w:pPr>
        <w:pStyle w:val="102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2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2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2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2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23"/>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南医大常州医疗健康科技园新建工程一期动物学与细胞培养仪器设备采购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ascii="宋体" w:hAnsi="宋体"/>
          <w:sz w:val="24"/>
        </w:rPr>
        <w:t xml:space="preserve">5</w:t>
      </w:r>
      <w:r>
        <w:rPr>
          <w:rFonts w:hint="eastAsia" w:ascii="宋体" w:hAnsi="宋体"/>
          <w:bCs/>
          <w:sz w:val="24"/>
        </w:rPr>
        <w:t xml:space="preserve">年</w:t>
      </w:r>
      <w:r>
        <w:rPr>
          <w:rFonts w:hint="eastAsia" w:ascii="宋体" w:hAnsi="宋体"/>
          <w:bCs/>
          <w:sz w:val="24"/>
        </w:rPr>
        <w:t xml:space="preserve">12</w:t>
      </w:r>
      <w:r>
        <w:rPr>
          <w:rFonts w:hint="eastAsia" w:ascii="宋体" w:hAnsi="宋体"/>
          <w:bCs/>
          <w:sz w:val="24"/>
        </w:rPr>
        <w:t xml:space="preserve">月</w:t>
      </w:r>
      <w:r>
        <w:rPr>
          <w:rFonts w:hint="eastAsia" w:ascii="宋体" w:hAnsi="宋体"/>
          <w:bCs/>
          <w:sz w:val="24"/>
        </w:rPr>
        <w:t xml:space="preserve">16</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分（北京时间）前递交投标</w:t>
      </w:r>
      <w:r>
        <w:rPr>
          <w:rFonts w:ascii="宋体" w:hAnsi="宋体"/>
          <w:bCs/>
          <w:sz w:val="24"/>
        </w:rPr>
        <w:t xml:space="preserve">文件</w:t>
      </w:r>
      <w:r>
        <w:rPr>
          <w:rFonts w:hint="eastAsia" w:ascii="宋体" w:hAnsi="宋体"/>
          <w:sz w:val="24"/>
        </w:rPr>
        <w:t xml:space="preserve">。</w:t>
      </w:r>
      <w:r/>
    </w:p>
    <w:p>
      <w:pPr>
        <w:pStyle w:val="78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宋体" w:hAnsi="宋体"/>
          <w:sz w:val="24"/>
        </w:rPr>
        <w:t xml:space="preserve">JSZC-320412-XHJS-G2025-0054</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ascii="宋体" w:hAnsi="宋体"/>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南医大常州医疗健康科技园新建工程一期动物学与细胞培养仪器设备采购</w:t>
      </w:r>
      <w:r/>
    </w:p>
    <w:p>
      <w:pPr>
        <w:ind w:firstLine="480"/>
        <w:spacing w:line="360" w:lineRule="auto"/>
        <w:rPr>
          <w:sz w:val="24"/>
        </w:rPr>
      </w:pPr>
      <w:r>
        <w:rPr>
          <w:sz w:val="24"/>
        </w:rPr>
        <w:t xml:space="preserve">3.</w:t>
      </w:r>
      <w:r>
        <w:rPr>
          <w:sz w:val="24"/>
        </w:rPr>
        <w:t xml:space="preserve">项目预算金额：</w:t>
      </w:r>
      <w:r>
        <w:rPr>
          <w:rFonts w:hint="eastAsia"/>
          <w:sz w:val="24"/>
        </w:rPr>
        <w:t xml:space="preserve">2459</w:t>
      </w:r>
      <w:r>
        <w:rPr>
          <w:sz w:val="24"/>
        </w:rPr>
        <w:t xml:space="preserve">万元</w:t>
      </w:r>
      <w:r/>
    </w:p>
    <w:p>
      <w:pPr>
        <w:ind w:firstLine="480"/>
        <w:spacing w:line="360" w:lineRule="auto"/>
        <w:rPr>
          <w:sz w:val="24"/>
        </w:rPr>
      </w:pPr>
      <w:r>
        <w:rPr>
          <w:rFonts w:hint="eastAsia"/>
          <w:sz w:val="24"/>
        </w:rPr>
        <w:t xml:space="preserve">4.</w:t>
      </w:r>
      <w:r>
        <w:rPr>
          <w:sz w:val="24"/>
        </w:rPr>
        <w:t xml:space="preserve">项目最高限价：</w:t>
      </w:r>
      <w:r>
        <w:rPr>
          <w:rFonts w:hint="eastAsia"/>
          <w:sz w:val="24"/>
        </w:rPr>
        <w:t xml:space="preserve">2435</w:t>
      </w:r>
      <w:r>
        <w:rPr>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包含小动物代谢监测系统设备、小动物彩超、小动物CT、小动物活体可见光成像系统设备等相关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788"/>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p>
    <w:p>
      <w:pPr>
        <w:ind w:firstLine="540"/>
        <w:spacing w:line="360" w:lineRule="auto"/>
        <w:rPr>
          <w:rFonts w:hint="eastAsia" w:ascii="宋体" w:hAnsi="宋体" w:cs="宋体"/>
          <w:b/>
          <w:bCs/>
          <w:sz w:val="24"/>
        </w:rPr>
      </w:pPr>
      <w:r>
        <w:rPr>
          <w:rFonts w:hint="eastAsia" w:ascii="宋体" w:hAnsi="宋体" w:cs="宋体"/>
          <w:b/>
          <w:bCs/>
          <w:sz w:val="24"/>
        </w:rPr>
        <w:t xml:space="preserve">2、投标人为所投国产设备的授权经销（代理）商，必须提供制造（生产）商授权投标人的授权书扫描件。</w:t>
      </w:r>
      <w:r/>
    </w:p>
    <w:p>
      <w:pPr>
        <w:pStyle w:val="788"/>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sz w:val="24"/>
          <w:lang w:bidi="ar"/>
        </w:rPr>
        <w:t xml:space="preserve">5</w:t>
      </w:r>
      <w:r>
        <w:rPr>
          <w:rFonts w:hint="eastAsia"/>
          <w:sz w:val="24"/>
          <w:lang w:bidi="ar"/>
        </w:rPr>
        <w:t xml:space="preserve">年</w:t>
      </w:r>
      <w:r>
        <w:rPr>
          <w:rFonts w:hint="eastAsia"/>
          <w:sz w:val="24"/>
          <w:lang w:bidi="ar"/>
        </w:rPr>
        <w:t xml:space="preserve">11</w:t>
      </w:r>
      <w:r>
        <w:rPr>
          <w:rFonts w:hint="eastAsia"/>
          <w:sz w:val="24"/>
          <w:lang w:bidi="ar"/>
        </w:rPr>
        <w:t xml:space="preserve">月</w:t>
      </w:r>
      <w:r>
        <w:rPr>
          <w:rFonts w:hint="eastAsia"/>
          <w:sz w:val="24"/>
          <w:lang w:bidi="ar"/>
        </w:rPr>
        <w:t xml:space="preserve">28</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23"/>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788"/>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sz w:val="24"/>
          <w:lang w:bidi="ar"/>
        </w:rPr>
        <w:t xml:space="preserve">5</w:t>
      </w:r>
      <w:r>
        <w:rPr>
          <w:sz w:val="24"/>
          <w:lang w:bidi="ar"/>
        </w:rPr>
        <w:t xml:space="preserve">年</w:t>
      </w:r>
      <w:r>
        <w:rPr>
          <w:rFonts w:hint="eastAsia"/>
          <w:sz w:val="24"/>
          <w:lang w:bidi="ar"/>
        </w:rPr>
        <w:t xml:space="preserve">12</w:t>
      </w:r>
      <w:r>
        <w:rPr>
          <w:sz w:val="24"/>
          <w:lang w:bidi="ar"/>
        </w:rPr>
        <w:t xml:space="preserve">月</w:t>
      </w:r>
      <w:r>
        <w:rPr>
          <w:rFonts w:hint="eastAsia"/>
          <w:sz w:val="24"/>
          <w:lang w:bidi="ar"/>
        </w:rPr>
        <w:t xml:space="preserve">16</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78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788"/>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788"/>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23"/>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788"/>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spacing w:line="360" w:lineRule="exact"/>
              <w:rPr>
                <w:rFonts w:hint="eastAsia" w:hAnsi="宋体"/>
                <w:sz w:val="24"/>
              </w:rPr>
            </w:pPr>
            <w:r>
              <w:rPr>
                <w:rFonts w:hAnsi="宋体"/>
                <w:sz w:val="24"/>
              </w:rPr>
              <w:t xml:space="preserve">关于核心产品本项目</w:t>
            </w:r>
            <w:r>
              <w:rPr>
                <w:rFonts w:hAnsi="宋体" w:cs="Segoe UI Symbol"/>
                <w:sz w:val="24"/>
              </w:rPr>
              <w:t xml:space="preserve">■</w:t>
            </w:r>
            <w:r>
              <w:rPr>
                <w:rFonts w:hAnsi="宋体"/>
                <w:sz w:val="24"/>
              </w:rPr>
              <w:t xml:space="preserve">适用</w:t>
            </w:r>
            <w:r>
              <w:rPr>
                <w:rFonts w:hAnsi="宋体"/>
                <w:sz w:val="24"/>
              </w:rPr>
              <w:t xml:space="preserve">   </w:t>
            </w:r>
            <w:r>
              <w:rPr>
                <w:rFonts w:ascii="Wingdings 2" w:hAnsi="Wingdings 2" w:eastAsia="Wingdings 2" w:cs="Wingdings 2"/>
                <w:sz w:val="24"/>
              </w:rPr>
              <w:t xml:space="preserve"></w:t>
            </w:r>
            <w:r>
              <w:rPr>
                <w:rFonts w:hAnsi="宋体"/>
                <w:sz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hint="eastAsia" w:ascii="宋体" w:hAnsi="宋体"/>
                <w:sz w:val="24"/>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ascii="宋体" w:hAnsi="宋体"/>
                <w:b/>
                <w:bCs/>
                <w:sz w:val="24"/>
                <w:u w:val="single"/>
              </w:rPr>
              <w:t xml:space="preserve">小动物彩超</w:t>
            </w:r>
            <w:r>
              <w:rPr>
                <w:rFonts w:hint="eastAsia" w:ascii="宋体" w:hAnsi="宋体"/>
                <w:b/>
                <w:bCs/>
                <w:sz w:val="24"/>
                <w:u w:val="single"/>
              </w:rPr>
              <w:t xml:space="preserve">（采购</w:t>
            </w:r>
            <w:r>
              <w:rPr>
                <w:rFonts w:hint="eastAsia" w:ascii="宋体" w:hAnsi="宋体"/>
                <w:b/>
                <w:bCs/>
                <w:sz w:val="24"/>
                <w:u w:val="single"/>
              </w:rPr>
              <w:t xml:space="preserve">清</w:t>
            </w:r>
            <w:r>
              <w:rPr>
                <w:rFonts w:hint="eastAsia" w:ascii="宋体" w:hAnsi="宋体"/>
                <w:b/>
                <w:bCs/>
                <w:sz w:val="24"/>
                <w:u w:val="single"/>
              </w:rPr>
              <w:t xml:space="preserve">单序号:10）</w:t>
            </w:r>
            <w:r>
              <w:rPr>
                <w:rFonts w:hint="eastAsia" w:ascii="宋体" w:hAnsi="宋体"/>
                <w:b/>
                <w:bCs/>
                <w:sz w:val="24"/>
                <w:u w:val="single"/>
              </w:rPr>
              <w:t xml:space="preserve">。</w:t>
            </w:r>
            <w:r/>
          </w:p>
        </w:tc>
      </w:tr>
      <w:tr>
        <w:trPr>
          <w:jc w:val="center"/>
          <w:trHeight w:val="2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12"/>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12"/>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12"/>
              <w:ind w:firstLine="0"/>
              <w:spacing w:before="0" w:line="300" w:lineRule="exact"/>
              <w:rPr>
                <w:rFonts w:hint="eastAsia"/>
              </w:rPr>
            </w:pPr>
            <w:r>
              <w:rPr>
                <w:rFonts w:hint="eastAsia"/>
              </w:rPr>
              <w:t xml:space="preserve">（3）样品不能出现制造厂或投标人的标志、标记。</w:t>
            </w:r>
            <w:r/>
          </w:p>
          <w:p>
            <w:pPr>
              <w:pStyle w:val="1012"/>
              <w:ind w:firstLine="0"/>
              <w:spacing w:before="0" w:line="300" w:lineRule="exact"/>
              <w:rPr>
                <w:rFonts w:hint="eastAsia"/>
              </w:rPr>
            </w:pPr>
            <w:r>
              <w:rPr>
                <w:rFonts w:hint="eastAsia"/>
              </w:rPr>
              <w:t xml:space="preserve">（4）样品递交及退还必须出具投标人的授权委托书及被授权委托人身份证。</w:t>
            </w:r>
            <w:r/>
          </w:p>
          <w:p>
            <w:pPr>
              <w:pStyle w:val="1012"/>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66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ascii="宋体" w:hAnsi="宋体"/>
                <w:sz w:val="24"/>
              </w:rPr>
              <w:t xml:space="preserve">（专门面向中小企业采购）或报价不作相应扣除。</w:t>
            </w:r>
            <w:r/>
          </w:p>
        </w:tc>
      </w:tr>
      <w:tr>
        <w:trPr>
          <w:jc w:val="center"/>
          <w:trHeight w:val="695"/>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br w:type="page" w:clear="all"/>
            </w:r>
            <w:r>
              <w:rPr>
                <w:rFonts w:hint="default"/>
              </w:rPr>
              <w:t xml:space="preserve">9</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995"/>
              <w:jc w:val="center"/>
              <w:spacing w:line="360" w:lineRule="exact"/>
              <w:rPr>
                <w:rFonts w:hint="default"/>
              </w:rPr>
            </w:pPr>
            <w:r>
              <w:br w:type="page" w:clear="all"/>
            </w: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2025年</w:t>
            </w:r>
            <w:r>
              <w:rPr>
                <w:rFonts w:hint="eastAsia" w:ascii="宋体" w:hAnsi="宋体"/>
                <w:sz w:val="24"/>
              </w:rPr>
              <w:t xml:space="preserve">12</w:t>
            </w:r>
            <w:r>
              <w:rPr>
                <w:rFonts w:ascii="宋体" w:hAnsi="宋体"/>
                <w:sz w:val="24"/>
              </w:rPr>
              <w:t xml:space="preserve">月</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1</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23"/>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23"/>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23"/>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rPr>
                <w:rFonts w:hint="eastAsia"/>
                <w:color w:val="auto"/>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50</w:t>
            </w:r>
            <w:r>
              <w:rPr>
                <w:rFonts w:hint="eastAsia"/>
                <w:sz w:val="24"/>
              </w:rPr>
              <w:t xml:space="preserve">%</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w:t>
            </w:r>
            <w:r>
              <w:rPr>
                <w:rFonts w:hint="eastAsia"/>
                <w:sz w:val="24"/>
              </w:rPr>
              <w:t xml:space="preserve">中标</w:t>
            </w:r>
            <w:r>
              <w:rPr>
                <w:rFonts w:hint="eastAsia"/>
                <w:sz w:val="24"/>
              </w:rPr>
              <w:t xml:space="preserve">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788"/>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788"/>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bookmarkEnd w:id="161"/>
      <w:bookmarkEnd w:id="162"/>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bookmarkEnd w:id="164"/>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bookmarkEnd w:id="201"/>
      <w:bookmarkEnd w:id="202"/>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23"/>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23"/>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2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23"/>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2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23"/>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bookmarkEnd w:id="225"/>
      <w:r/>
      <w:bookmarkEnd w:id="226"/>
      <w:r/>
      <w:bookmarkEnd w:id="227"/>
      <w:r>
        <w:rPr>
          <w:rFonts w:ascii="宋体" w:hAnsi="宋体"/>
          <w:b/>
          <w:bCs/>
          <w:sz w:val="24"/>
        </w:rPr>
        <w:t xml:space="preserve">中小企业、监狱企业及残疾人福利性单位</w:t>
      </w:r>
      <w:r/>
    </w:p>
    <w:p>
      <w:pPr>
        <w:pStyle w:val="1023"/>
        <w:ind w:firstLine="480"/>
        <w:spacing w:line="500" w:lineRule="exact"/>
        <w:rPr>
          <w:rFonts w:hint="eastAsia"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中小企业是指在中华人民共和国境内依法设立，依据国务院批准的中小企业划分标准确定的中型企业、小型企业和微型企业，但与大企业的负责人为同</w:t>
      </w:r>
      <w:r>
        <w:rPr>
          <w:rFonts w:ascii="宋体" w:hAnsi="宋体"/>
          <w:sz w:val="24"/>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spacing w:line="500" w:lineRule="exact"/>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w:t>
      </w:r>
      <w:r>
        <w:rPr>
          <w:rFonts w:ascii="宋体" w:hAnsi="宋体"/>
          <w:sz w:val="24"/>
        </w:rPr>
        <w:t xml:space="preserve">式参加</w:t>
      </w:r>
      <w:r>
        <w:rPr>
          <w:rFonts w:ascii="宋体" w:hAnsi="宋体"/>
          <w:sz w:val="24"/>
        </w:rPr>
        <w:t xml:space="preserve">政府采购活动，联合体各方均为中小企业的，联合体视同中小企业。其中，联合体各方均为小</w:t>
      </w:r>
      <w:r>
        <w:rPr>
          <w:rFonts w:ascii="宋体" w:hAnsi="宋体"/>
          <w:sz w:val="24"/>
        </w:rPr>
        <w:t xml:space="preserve">微企业</w:t>
      </w:r>
      <w:r>
        <w:rPr>
          <w:rFonts w:ascii="宋体" w:hAnsi="宋体"/>
          <w:sz w:val="24"/>
        </w:rPr>
        <w:t xml:space="preserve">的，联合体视同小微企业。</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（6）</w:t>
      </w:r>
      <w:r>
        <w:rPr>
          <w:rFonts w:ascii="宋体" w:hAnsi="宋体"/>
          <w:sz w:val="24"/>
        </w:rPr>
        <w:t xml:space="preserve">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sz w:val="24"/>
        </w:rPr>
      </w:pPr>
      <w:r>
        <w:rPr>
          <w:rFonts w:ascii="宋体" w:hAnsi="宋体"/>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sz w:val="24"/>
        </w:rPr>
      </w:pPr>
      <w:r>
        <w:rPr>
          <w:rFonts w:ascii="宋体" w:hAnsi="宋体"/>
          <w:sz w:val="24"/>
        </w:rPr>
        <w:t xml:space="preserve">33.9.6小</w:t>
      </w:r>
      <w:r>
        <w:rPr>
          <w:rFonts w:ascii="宋体" w:hAnsi="宋体"/>
          <w:sz w:val="24"/>
        </w:rPr>
        <w:t xml:space="preserve">微企业</w:t>
      </w:r>
      <w:r>
        <w:rPr>
          <w:rFonts w:ascii="宋体" w:hAnsi="宋体"/>
          <w:sz w:val="24"/>
        </w:rPr>
        <w:t xml:space="preserve">价格评审优惠的政策调整：见第四章《</w:t>
      </w:r>
      <w:r>
        <w:rPr>
          <w:rFonts w:hint="eastAsia" w:ascii="宋体" w:hAnsi="宋体"/>
          <w:sz w:val="24"/>
        </w:rPr>
        <w:t xml:space="preserve">评标程序、评标方法和评标标准</w:t>
      </w:r>
      <w:r>
        <w:rPr>
          <w:rFonts w:ascii="宋体" w:hAnsi="宋体"/>
          <w:sz w:val="24"/>
        </w:rPr>
        <w:t xml:space="preserve">》。</w:t>
      </w:r>
      <w:bookmarkEnd w:id="96"/>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199"/>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199"/>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199"/>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199"/>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199"/>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199"/>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23"/>
        <w:ind w:firstLine="602"/>
        <w:rPr>
          <w:rFonts w:hint="eastAsia"/>
          <w:color w:val="auto"/>
        </w:rPr>
      </w:pPr>
      <w:r>
        <w:rPr>
          <w:b/>
          <w:color w:val="auto"/>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sz w:val="24"/>
              </w:rPr>
            </w:pPr>
            <w:r>
              <w:rPr>
                <w:b/>
                <w:sz w:val="24"/>
              </w:rPr>
              <w:t xml:space="preserve">序号</w:t>
            </w:r>
            <w:r/>
          </w:p>
        </w:tc>
        <w:tc>
          <w:tcPr>
            <w:tcW w:w="921" w:type="pct"/>
            <w:vAlign w:val="center"/>
            <w:textDirection w:val="lrTb"/>
            <w:noWrap w:val="false"/>
          </w:tcPr>
          <w:p>
            <w:pPr>
              <w:jc w:val="center"/>
              <w:widowControl/>
              <w:rPr>
                <w:b/>
                <w:sz w:val="24"/>
              </w:rPr>
            </w:pPr>
            <w:r>
              <w:rPr>
                <w:b/>
                <w:sz w:val="24"/>
              </w:rPr>
              <w:t xml:space="preserve">审查因素</w:t>
            </w:r>
            <w:r/>
          </w:p>
        </w:tc>
        <w:tc>
          <w:tcPr>
            <w:tcW w:w="2719" w:type="pct"/>
            <w:vAlign w:val="center"/>
            <w:textDirection w:val="lrTb"/>
            <w:noWrap w:val="false"/>
          </w:tcPr>
          <w:p>
            <w:pPr>
              <w:jc w:val="center"/>
              <w:widowControl/>
              <w:rPr>
                <w:b/>
                <w:sz w:val="24"/>
              </w:rPr>
            </w:pPr>
            <w:r>
              <w:rPr>
                <w:b/>
                <w:sz w:val="24"/>
              </w:rPr>
              <w:t xml:space="preserve">审查内容</w:t>
            </w:r>
            <w:r/>
          </w:p>
        </w:tc>
        <w:tc>
          <w:tcPr>
            <w:tcW w:w="891"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69" w:type="pct"/>
            <w:vAlign w:val="center"/>
            <w:textDirection w:val="lrTb"/>
            <w:noWrap w:val="false"/>
          </w:tcPr>
          <w:p>
            <w:pPr>
              <w:jc w:val="center"/>
              <w:widowControl/>
              <w:rPr>
                <w:sz w:val="24"/>
              </w:rPr>
            </w:pPr>
            <w:r>
              <w:rPr>
                <w:sz w:val="24"/>
              </w:rPr>
              <w:t xml:space="preserve">1</w:t>
            </w:r>
            <w:r/>
          </w:p>
        </w:tc>
        <w:tc>
          <w:tcPr>
            <w:tcW w:w="921" w:type="pct"/>
            <w:vAlign w:val="center"/>
            <w:textDirection w:val="lrTb"/>
            <w:noWrap w:val="false"/>
          </w:tcPr>
          <w:p>
            <w:pPr>
              <w:jc w:val="left"/>
              <w:widowControl/>
              <w:rPr>
                <w:sz w:val="24"/>
              </w:rPr>
            </w:pPr>
            <w:r>
              <w:rPr>
                <w:rFonts w:hint="eastAsia"/>
                <w:sz w:val="24"/>
              </w:rPr>
              <w:t xml:space="preserve">投标函</w:t>
            </w:r>
            <w:r/>
          </w:p>
        </w:tc>
        <w:tc>
          <w:tcPr>
            <w:tcW w:w="271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91"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69" w:type="pct"/>
            <w:vAlign w:val="center"/>
            <w:textDirection w:val="lrTb"/>
            <w:noWrap w:val="false"/>
          </w:tcPr>
          <w:p>
            <w:pPr>
              <w:jc w:val="center"/>
              <w:widowControl/>
              <w:rPr>
                <w:sz w:val="24"/>
              </w:rPr>
            </w:pPr>
            <w:r>
              <w:rPr>
                <w:sz w:val="24"/>
              </w:rPr>
              <w:t xml:space="preserve">2</w:t>
            </w:r>
            <w:r/>
          </w:p>
        </w:tc>
        <w:tc>
          <w:tcPr>
            <w:tcW w:w="921" w:type="pct"/>
            <w:vAlign w:val="center"/>
            <w:textDirection w:val="lrTb"/>
            <w:noWrap w:val="false"/>
          </w:tcPr>
          <w:p>
            <w:pPr>
              <w:jc w:val="left"/>
              <w:widowControl/>
              <w:rPr>
                <w:sz w:val="24"/>
              </w:rPr>
            </w:pPr>
            <w:r>
              <w:rPr>
                <w:sz w:val="24"/>
              </w:rPr>
              <w:t xml:space="preserve">投标完整性</w:t>
            </w:r>
            <w:r/>
          </w:p>
        </w:tc>
        <w:tc>
          <w:tcPr>
            <w:tcW w:w="271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91"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69" w:type="pct"/>
            <w:vAlign w:val="center"/>
            <w:textDirection w:val="lrTb"/>
            <w:noWrap w:val="false"/>
          </w:tcPr>
          <w:p>
            <w:pPr>
              <w:jc w:val="center"/>
              <w:widowControl/>
              <w:rPr>
                <w:sz w:val="24"/>
              </w:rPr>
            </w:pPr>
            <w:r>
              <w:rPr>
                <w:sz w:val="24"/>
              </w:rPr>
              <w:t xml:space="preserve">3</w:t>
            </w:r>
            <w:r/>
          </w:p>
        </w:tc>
        <w:tc>
          <w:tcPr>
            <w:tcW w:w="921" w:type="pct"/>
            <w:vAlign w:val="center"/>
            <w:textDirection w:val="lrTb"/>
            <w:noWrap w:val="false"/>
          </w:tcPr>
          <w:p>
            <w:pPr>
              <w:jc w:val="left"/>
              <w:widowControl/>
              <w:rPr>
                <w:sz w:val="24"/>
              </w:rPr>
            </w:pPr>
            <w:r>
              <w:rPr>
                <w:sz w:val="24"/>
              </w:rPr>
              <w:t xml:space="preserve">投标报价</w:t>
            </w:r>
            <w:r/>
          </w:p>
        </w:tc>
        <w:tc>
          <w:tcPr>
            <w:tcW w:w="2719"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4</w:t>
            </w:r>
            <w:r/>
          </w:p>
        </w:tc>
        <w:tc>
          <w:tcPr>
            <w:tcW w:w="921" w:type="pct"/>
            <w:vAlign w:val="center"/>
            <w:textDirection w:val="lrTb"/>
            <w:noWrap w:val="false"/>
          </w:tcPr>
          <w:p>
            <w:pPr>
              <w:jc w:val="left"/>
              <w:widowControl/>
              <w:rPr>
                <w:sz w:val="24"/>
              </w:rPr>
            </w:pPr>
            <w:r>
              <w:rPr>
                <w:sz w:val="24"/>
              </w:rPr>
              <w:t xml:space="preserve">报价唯一性</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5</w:t>
            </w:r>
            <w:r/>
          </w:p>
        </w:tc>
        <w:tc>
          <w:tcPr>
            <w:tcW w:w="921" w:type="pct"/>
            <w:vAlign w:val="center"/>
            <w:textDirection w:val="lrTb"/>
            <w:noWrap w:val="false"/>
          </w:tcPr>
          <w:p>
            <w:pPr>
              <w:jc w:val="left"/>
              <w:widowControl/>
              <w:rPr>
                <w:sz w:val="24"/>
              </w:rPr>
            </w:pPr>
            <w:r>
              <w:rPr>
                <w:sz w:val="24"/>
              </w:rPr>
              <w:t xml:space="preserve">投标有效期</w:t>
            </w:r>
            <w:r/>
          </w:p>
        </w:tc>
        <w:tc>
          <w:tcPr>
            <w:tcW w:w="271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6</w:t>
            </w:r>
            <w:r/>
          </w:p>
        </w:tc>
        <w:tc>
          <w:tcPr>
            <w:tcW w:w="921" w:type="pct"/>
            <w:vAlign w:val="center"/>
            <w:textDirection w:val="lrTb"/>
            <w:noWrap w:val="false"/>
          </w:tcPr>
          <w:p>
            <w:pPr>
              <w:jc w:val="left"/>
              <w:widowControl/>
              <w:rPr>
                <w:sz w:val="24"/>
              </w:rPr>
            </w:pPr>
            <w:r>
              <w:rPr>
                <w:sz w:val="24"/>
              </w:rPr>
              <w:t xml:space="preserve">签署、加盖公章</w:t>
            </w:r>
            <w:r/>
          </w:p>
        </w:tc>
        <w:tc>
          <w:tcPr>
            <w:tcW w:w="2719" w:type="pct"/>
            <w:vAlign w:val="center"/>
            <w:textDirection w:val="lrTb"/>
            <w:noWrap w:val="false"/>
          </w:tcPr>
          <w:p>
            <w:pPr>
              <w:jc w:val="left"/>
              <w:widowControl/>
              <w:rPr>
                <w:sz w:val="24"/>
              </w:rPr>
            </w:pPr>
            <w:r>
              <w:rPr>
                <w:sz w:val="24"/>
              </w:rPr>
              <w:t xml:space="preserve">按照招标文件要求签署、加盖公章的；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7</w:t>
            </w:r>
            <w:r/>
          </w:p>
        </w:tc>
        <w:tc>
          <w:tcPr>
            <w:tcW w:w="921" w:type="pct"/>
            <w:vAlign w:val="center"/>
            <w:textDirection w:val="lrTb"/>
            <w:noWrap w:val="false"/>
          </w:tcPr>
          <w:p>
            <w:pPr>
              <w:jc w:val="left"/>
              <w:widowControl/>
              <w:rPr>
                <w:sz w:val="24"/>
              </w:rPr>
            </w:pPr>
            <w:r>
              <w:rPr>
                <w:rFonts w:hint="eastAsia"/>
                <w:sz w:val="24"/>
              </w:rPr>
              <w:t xml:space="preserve">实质性格式</w:t>
            </w:r>
            <w:r/>
          </w:p>
        </w:tc>
        <w:tc>
          <w:tcPr>
            <w:tcW w:w="271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8</w:t>
            </w:r>
            <w:r/>
          </w:p>
        </w:tc>
        <w:tc>
          <w:tcPr>
            <w:tcW w:w="92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71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9</w:t>
            </w:r>
            <w:r/>
          </w:p>
        </w:tc>
        <w:tc>
          <w:tcPr>
            <w:tcW w:w="921" w:type="pct"/>
            <w:vAlign w:val="center"/>
            <w:textDirection w:val="lrTb"/>
            <w:noWrap w:val="false"/>
          </w:tcPr>
          <w:p>
            <w:pPr>
              <w:jc w:val="left"/>
              <w:widowControl/>
              <w:rPr>
                <w:sz w:val="24"/>
              </w:rPr>
            </w:pPr>
            <w:r>
              <w:rPr>
                <w:sz w:val="24"/>
              </w:rPr>
              <w:t xml:space="preserve">分包承担主体资质（如有）</w:t>
            </w:r>
            <w:r/>
          </w:p>
        </w:tc>
        <w:tc>
          <w:tcPr>
            <w:tcW w:w="271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10</w:t>
            </w:r>
            <w:r/>
          </w:p>
        </w:tc>
        <w:tc>
          <w:tcPr>
            <w:tcW w:w="921" w:type="pct"/>
            <w:vAlign w:val="center"/>
            <w:textDirection w:val="lrTb"/>
            <w:noWrap w:val="false"/>
          </w:tcPr>
          <w:p>
            <w:pPr>
              <w:jc w:val="left"/>
              <w:widowControl/>
              <w:rPr>
                <w:sz w:val="24"/>
              </w:rPr>
            </w:pPr>
            <w:r>
              <w:rPr>
                <w:sz w:val="24"/>
              </w:rPr>
              <w:t xml:space="preserve">分包意向协议（如有）</w:t>
            </w:r>
            <w:r/>
          </w:p>
        </w:tc>
        <w:tc>
          <w:tcPr>
            <w:tcW w:w="271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11</w:t>
            </w:r>
            <w:r/>
          </w:p>
        </w:tc>
        <w:tc>
          <w:tcPr>
            <w:tcW w:w="921" w:type="pct"/>
            <w:vAlign w:val="center"/>
            <w:textDirection w:val="lrTb"/>
            <w:noWrap w:val="false"/>
          </w:tcPr>
          <w:p>
            <w:pPr>
              <w:jc w:val="left"/>
              <w:widowControl/>
              <w:rPr>
                <w:sz w:val="24"/>
              </w:rPr>
            </w:pPr>
            <w:r>
              <w:rPr>
                <w:sz w:val="24"/>
              </w:rPr>
              <w:t xml:space="preserve">报价的修正（如有）</w:t>
            </w:r>
            <w:r/>
          </w:p>
        </w:tc>
        <w:tc>
          <w:tcPr>
            <w:tcW w:w="271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12</w:t>
            </w:r>
            <w:r/>
          </w:p>
        </w:tc>
        <w:tc>
          <w:tcPr>
            <w:tcW w:w="921" w:type="pct"/>
            <w:vAlign w:val="center"/>
            <w:textDirection w:val="lrTb"/>
            <w:noWrap w:val="false"/>
          </w:tcPr>
          <w:p>
            <w:pPr>
              <w:jc w:val="left"/>
              <w:widowControl/>
              <w:rPr>
                <w:sz w:val="24"/>
              </w:rPr>
            </w:pPr>
            <w:r>
              <w:rPr>
                <w:sz w:val="24"/>
              </w:rPr>
              <w:t xml:space="preserve">报价合理性</w:t>
            </w:r>
            <w:r/>
          </w:p>
        </w:tc>
        <w:tc>
          <w:tcPr>
            <w:tcW w:w="2719" w:type="pct"/>
            <w:vAlign w:val="center"/>
            <w:textDirection w:val="lrTb"/>
            <w:noWrap w:val="false"/>
          </w:tcPr>
          <w:p>
            <w:pPr>
              <w:ind w:firstLine="480"/>
              <w:jc w:val="left"/>
              <w:widowControl/>
              <w:rPr>
                <w:sz w:val="24"/>
              </w:rPr>
            </w:pPr>
            <w:r>
              <w:rPr>
                <w:rFonts w:hint="eastAsia"/>
                <w:sz w:val="24"/>
              </w:rPr>
              <w:t xml:space="preserve">根据江苏省财政厅《关于推动解决政府采购异常低价问题相关工作的通知》</w:t>
            </w:r>
            <w:r>
              <w:rPr>
                <w:rFonts w:hint="eastAsia"/>
                <w:sz w:val="24"/>
              </w:rPr>
              <w:t xml:space="preserve">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w:t>
            </w:r>
            <w:r>
              <w:rPr>
                <w:rFonts w:hint="eastAsia"/>
                <w:sz w:val="24"/>
              </w:rPr>
              <w:t xml:space="preserve"> </w:t>
            </w:r>
            <w:r>
              <w:rPr>
                <w:rFonts w:hint="eastAsia"/>
                <w:sz w:val="24"/>
              </w:rPr>
              <w:t xml:space="preserve">算等与报价合理性相关的书面说明及相关证明材料，对投标（响</w:t>
            </w:r>
            <w:r>
              <w:rPr>
                <w:rFonts w:hint="eastAsia"/>
                <w:sz w:val="24"/>
              </w:rPr>
              <w:t xml:space="preserve"> </w:t>
            </w:r>
            <w:r>
              <w:rPr>
                <w:rFonts w:hint="eastAsia"/>
                <w:sz w:val="24"/>
              </w:rPr>
              <w:t xml:space="preserve">应）价格</w:t>
            </w:r>
            <w:r>
              <w:rPr>
                <w:rFonts w:hint="eastAsia"/>
                <w:sz w:val="24"/>
              </w:rPr>
              <w:t xml:space="preserve">作出</w:t>
            </w:r>
            <w:r>
              <w:rPr>
                <w:rFonts w:hint="eastAsia"/>
                <w:sz w:val="24"/>
              </w:rPr>
              <w:t xml:space="preserve">解释，由评审委员会结合同类产品在主要电商平台的价格、该行业当地薪资水平等情况，依据专业经验对供应商报</w:t>
            </w:r>
            <w:r>
              <w:rPr>
                <w:rFonts w:hint="eastAsia"/>
                <w:sz w:val="24"/>
              </w:rPr>
              <w:t xml:space="preserve"> </w:t>
            </w:r>
            <w:r>
              <w:rPr>
                <w:rFonts w:hint="eastAsia"/>
                <w:sz w:val="24"/>
              </w:rPr>
              <w:t xml:space="preserve">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w:t>
            </w:r>
            <w:r>
              <w:rPr>
                <w:rFonts w:hint="eastAsia"/>
                <w:sz w:val="24"/>
              </w:rPr>
              <w:t xml:space="preserve"> </w:t>
            </w:r>
            <w:r>
              <w:rPr>
                <w:rFonts w:hint="eastAsia"/>
                <w:sz w:val="24"/>
              </w:rPr>
              <w:t xml:space="preserve">评审委员会应当将其作为无效投标（响应）处理。审查相关情况</w:t>
            </w:r>
            <w:r>
              <w:rPr>
                <w:rFonts w:hint="eastAsia"/>
                <w:sz w:val="24"/>
              </w:rPr>
              <w:t xml:space="preserve"> </w:t>
            </w:r>
            <w:r>
              <w:rPr>
                <w:rFonts w:hint="eastAsia"/>
                <w:sz w:val="24"/>
              </w:rPr>
              <w:t xml:space="preserve">应当在评审报告中进行记录。</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13</w:t>
            </w:r>
            <w:r/>
          </w:p>
        </w:tc>
        <w:tc>
          <w:tcPr>
            <w:tcW w:w="92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71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91"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14</w:t>
            </w:r>
            <w:r/>
          </w:p>
        </w:tc>
        <w:tc>
          <w:tcPr>
            <w:tcW w:w="92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719"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15</w:t>
            </w:r>
            <w:r/>
          </w:p>
        </w:tc>
        <w:tc>
          <w:tcPr>
            <w:tcW w:w="921" w:type="pct"/>
            <w:vAlign w:val="center"/>
            <w:textDirection w:val="lrTb"/>
            <w:noWrap w:val="false"/>
          </w:tcPr>
          <w:p>
            <w:pPr>
              <w:jc w:val="left"/>
              <w:widowControl/>
              <w:rPr>
                <w:sz w:val="24"/>
              </w:rPr>
            </w:pPr>
            <w:r>
              <w:rPr>
                <w:sz w:val="24"/>
              </w:rPr>
              <w:t xml:space="preserve">公平竞争</w:t>
            </w:r>
            <w:r/>
          </w:p>
        </w:tc>
        <w:tc>
          <w:tcPr>
            <w:tcW w:w="2719" w:type="pct"/>
            <w:vAlign w:val="center"/>
            <w:textDirection w:val="lrTb"/>
            <w:noWrap w:val="false"/>
          </w:tcPr>
          <w:p>
            <w:pPr>
              <w:jc w:val="left"/>
              <w:widowControl/>
              <w:rPr>
                <w:sz w:val="24"/>
              </w:rPr>
            </w:pPr>
            <w:r>
              <w:rPr>
                <w:sz w:val="24"/>
              </w:rPr>
              <w:t xml:space="preserve">投标人遵循公平竞争的原则，不存在恶意串通，妨碍其他投标人的竞争行为，</w:t>
            </w:r>
            <w:r>
              <w:rPr>
                <w:sz w:val="24"/>
              </w:rPr>
              <w:t xml:space="preserve">不存在损害采购人或者其他投标人的合法权益情形的；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16</w:t>
            </w:r>
            <w:r/>
          </w:p>
        </w:tc>
        <w:tc>
          <w:tcPr>
            <w:tcW w:w="921" w:type="pct"/>
            <w:vAlign w:val="center"/>
            <w:textDirection w:val="lrTb"/>
            <w:noWrap w:val="false"/>
          </w:tcPr>
          <w:p>
            <w:pPr>
              <w:jc w:val="left"/>
              <w:widowControl/>
              <w:rPr>
                <w:sz w:val="24"/>
              </w:rPr>
            </w:pPr>
            <w:r>
              <w:rPr>
                <w:sz w:val="24"/>
              </w:rPr>
              <w:t xml:space="preserve">串通投标</w:t>
            </w:r>
            <w:r/>
          </w:p>
        </w:tc>
        <w:tc>
          <w:tcPr>
            <w:tcW w:w="271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17</w:t>
            </w:r>
            <w:r/>
          </w:p>
        </w:tc>
        <w:tc>
          <w:tcPr>
            <w:tcW w:w="921" w:type="pct"/>
            <w:vAlign w:val="center"/>
            <w:textDirection w:val="lrTb"/>
            <w:noWrap w:val="false"/>
          </w:tcPr>
          <w:p>
            <w:pPr>
              <w:jc w:val="left"/>
              <w:widowControl/>
              <w:rPr>
                <w:sz w:val="24"/>
              </w:rPr>
            </w:pPr>
            <w:r>
              <w:rPr>
                <w:sz w:val="24"/>
              </w:rPr>
              <w:t xml:space="preserve">附加条件</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21" w:type="pct"/>
            <w:vAlign w:val="center"/>
            <w:textDirection w:val="lrTb"/>
            <w:noWrap w:val="false"/>
          </w:tcPr>
          <w:p>
            <w:pPr>
              <w:jc w:val="left"/>
              <w:widowControl/>
              <w:rPr>
                <w:sz w:val="24"/>
              </w:rPr>
            </w:pPr>
            <w:r>
              <w:rPr>
                <w:sz w:val="24"/>
              </w:rPr>
              <w:t xml:space="preserve">其他无效情形</w:t>
            </w:r>
            <w:r/>
          </w:p>
        </w:tc>
        <w:tc>
          <w:tcPr>
            <w:tcW w:w="271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91" w:type="pct"/>
            <w:vAlign w:val="center"/>
            <w:textDirection w:val="lrTb"/>
            <w:noWrap w:val="false"/>
          </w:tcPr>
          <w:p>
            <w:pPr>
              <w:jc w:val="left"/>
              <w:widowControl/>
              <w:rPr>
                <w:sz w:val="24"/>
              </w:rPr>
            </w:pPr>
            <w:r>
              <w:rPr>
                <w:sz w:val="24"/>
              </w:rPr>
            </w:r>
            <w:r/>
          </w:p>
        </w:tc>
      </w:tr>
    </w:tbl>
    <w:p>
      <w:pPr>
        <w:pStyle w:val="1199"/>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p>
    <w:p>
      <w:pPr>
        <w:pStyle w:val="1199"/>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199"/>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199"/>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23"/>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w:t>
      </w:r>
      <w:r>
        <w:rPr>
          <w:rFonts w:hint="eastAsia" w:ascii="宋体" w:hAnsi="宋体"/>
          <w:sz w:val="24"/>
        </w:rPr>
        <w:t xml:space="preserve">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w:t>
      </w:r>
      <w:r>
        <w:rPr>
          <w:rFonts w:hint="eastAsia" w:ascii="宋体" w:hAnsi="宋体"/>
          <w:sz w:val="24"/>
        </w:rPr>
        <w:t xml:space="preserve">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bookmarkEnd w:id="288"/>
      <w:bookmarkEnd w:id="289"/>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bookmarkStart w:id="290" w:name="_Hlk213671351"/>
            <w:r>
              <w:rPr>
                <w:rStyle w:val="1252"/>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52"/>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52"/>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52"/>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52"/>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价格分</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rPr>
              <w:t xml:space="preserve">30</w:t>
            </w:r>
            <w:r/>
          </w:p>
        </w:tc>
        <w:tc>
          <w:tcPr>
            <w:tcW w:w="5470"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满足采购文件要求且最低的报价为评标基准价，其价格分为满分。其他供应商的价格</w:t>
            </w:r>
            <w:r>
              <w:rPr>
                <w:rStyle w:val="1252"/>
                <w:rFonts w:hint="default"/>
                <w:color w:val="auto"/>
                <w:sz w:val="21"/>
                <w:szCs w:val="21"/>
                <w:lang w:bidi="ar"/>
              </w:rPr>
              <w:t xml:space="preserve">分统一</w:t>
            </w:r>
            <w:r>
              <w:rPr>
                <w:rStyle w:val="1252"/>
                <w:rFonts w:hint="default"/>
                <w:color w:val="auto"/>
                <w:sz w:val="21"/>
                <w:szCs w:val="21"/>
                <w:lang w:bidi="ar"/>
              </w:rPr>
              <w:t xml:space="preserve">按照下列公式计算：</w:t>
            </w:r>
            <w:r>
              <w:rPr>
                <w:rStyle w:val="1252"/>
                <w:rFonts w:hint="default"/>
                <w:color w:val="auto"/>
                <w:sz w:val="21"/>
                <w:szCs w:val="21"/>
              </w:rPr>
              <w:t xml:space="preserve">投标报价得分=(评标基准价／投标报价)×</w:t>
            </w:r>
            <w:r>
              <w:rPr>
                <w:rStyle w:val="1252"/>
                <w:rFonts w:hint="default"/>
                <w:color w:val="auto"/>
                <w:sz w:val="21"/>
                <w:szCs w:val="21"/>
              </w:rPr>
              <w:t xml:space="preserve">价格权</w:t>
            </w:r>
            <w:r>
              <w:rPr>
                <w:rStyle w:val="1252"/>
                <w:rFonts w:hint="default"/>
                <w:color w:val="auto"/>
                <w:sz w:val="21"/>
                <w:szCs w:val="21"/>
              </w:rPr>
              <w:t xml:space="preserve">值×100。</w:t>
            </w:r>
            <w:r/>
          </w:p>
        </w:tc>
        <w:tc>
          <w:tcPr>
            <w:tcW w:w="2126" w:type="dxa"/>
            <w:vAlign w:val="center"/>
            <w:textDirection w:val="lrTb"/>
            <w:noWrap w:val="false"/>
          </w:tcPr>
          <w:p>
            <w:pPr>
              <w:widowControl/>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主观分</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rPr>
              <w:t xml:space="preserve">32</w:t>
            </w:r>
            <w:r/>
          </w:p>
        </w:tc>
        <w:tc>
          <w:tcPr>
            <w:tcW w:w="5470"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52"/>
                <w:rFonts w:hint="default"/>
                <w:color w:val="auto"/>
                <w:sz w:val="21"/>
                <w:szCs w:val="21"/>
              </w:rPr>
            </w:pPr>
            <w:r>
              <w:rPr>
                <w:rStyle w:val="1252"/>
                <w:rFonts w:hint="default"/>
                <w:color w:val="auto"/>
                <w:sz w:val="21"/>
                <w:szCs w:val="21"/>
                <w:lang w:bidi="ar"/>
              </w:rPr>
              <w:t xml:space="preserve">4</w:t>
            </w:r>
            <w:r/>
          </w:p>
        </w:tc>
        <w:tc>
          <w:tcPr>
            <w:tcW w:w="5470" w:type="dxa"/>
            <w:vAlign w:val="center"/>
            <w:textDirection w:val="lrTb"/>
            <w:noWrap w:val="false"/>
          </w:tcPr>
          <w:p>
            <w:pPr>
              <w:rPr>
                <w:rStyle w:val="1252"/>
                <w:rFonts w:hint="default"/>
                <w:color w:val="auto"/>
                <w:sz w:val="21"/>
                <w:szCs w:val="21"/>
                <w:lang w:bidi="ar"/>
              </w:rPr>
            </w:pPr>
            <w:r>
              <w:rPr>
                <w:rStyle w:val="1252"/>
                <w:rFonts w:hint="default"/>
                <w:color w:val="auto"/>
                <w:sz w:val="21"/>
                <w:szCs w:val="21"/>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12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52"/>
                <w:rFonts w:hint="default"/>
                <w:color w:val="auto"/>
                <w:sz w:val="21"/>
                <w:szCs w:val="21"/>
              </w:rPr>
            </w:pPr>
            <w:r>
              <w:rPr>
                <w:rStyle w:val="1252"/>
                <w:rFonts w:hint="default"/>
                <w:color w:val="auto"/>
                <w:sz w:val="21"/>
                <w:szCs w:val="21"/>
                <w:lang w:bidi="ar"/>
              </w:rPr>
              <w:t xml:space="preserve">5</w:t>
            </w:r>
            <w:r/>
          </w:p>
        </w:tc>
        <w:tc>
          <w:tcPr>
            <w:tcW w:w="5470" w:type="dxa"/>
            <w:vAlign w:val="center"/>
            <w:textDirection w:val="lrTb"/>
            <w:noWrap w:val="false"/>
          </w:tcPr>
          <w:p>
            <w:pPr>
              <w:rPr>
                <w:rStyle w:val="1252"/>
                <w:rFonts w:hint="default"/>
                <w:color w:val="auto"/>
                <w:sz w:val="21"/>
                <w:szCs w:val="21"/>
                <w:lang w:bidi="ar"/>
              </w:rPr>
            </w:pPr>
            <w:r>
              <w:rPr>
                <w:rStyle w:val="1252"/>
                <w:rFonts w:hint="default"/>
                <w:color w:val="auto"/>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12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52"/>
                <w:rFonts w:hint="default"/>
                <w:color w:val="auto"/>
                <w:sz w:val="21"/>
                <w:szCs w:val="21"/>
              </w:rPr>
            </w:pPr>
            <w:r>
              <w:rPr>
                <w:rStyle w:val="1252"/>
                <w:rFonts w:hint="default"/>
                <w:color w:val="auto"/>
                <w:sz w:val="21"/>
                <w:szCs w:val="21"/>
                <w:lang w:bidi="ar"/>
              </w:rPr>
              <w:t xml:space="preserve">5</w:t>
            </w:r>
            <w:r/>
          </w:p>
        </w:tc>
        <w:tc>
          <w:tcPr>
            <w:tcW w:w="5470" w:type="dxa"/>
            <w:vAlign w:val="center"/>
            <w:textDirection w:val="lrTb"/>
            <w:noWrap w:val="false"/>
          </w:tcPr>
          <w:p>
            <w:pPr>
              <w:rPr>
                <w:rStyle w:val="1252"/>
                <w:rFonts w:hint="default"/>
                <w:color w:val="auto"/>
                <w:sz w:val="21"/>
                <w:szCs w:val="21"/>
                <w:lang w:bidi="ar"/>
              </w:rPr>
            </w:pPr>
            <w:r>
              <w:rPr>
                <w:rStyle w:val="1252"/>
                <w:rFonts w:hint="default"/>
                <w:color w:val="auto"/>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12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演示</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lang w:bidi="ar"/>
              </w:rPr>
              <w:t xml:space="preserve">18</w:t>
            </w:r>
            <w:r/>
          </w:p>
        </w:tc>
        <w:tc>
          <w:tcPr>
            <w:tcW w:w="5470"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小动物彩超</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1、配备超高频超声探头：频率范围（20MHz～46MHz）可调，轴向分辨率≤50μm，</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2、</w:t>
            </w:r>
            <w:r>
              <w:rPr>
                <w:rStyle w:val="1252"/>
                <w:rFonts w:hint="default"/>
                <w:color w:val="000000" w:themeColor="text1"/>
                <w:sz w:val="21"/>
                <w:szCs w:val="21"/>
                <w:lang w:bidi="ar"/>
              </w:rPr>
              <w:t xml:space="preserve">系统具有支架轨道组合轨道系统，探头固定装置全方位可调，万向球面小动物手术平台可三维调整装置</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3、</w:t>
            </w:r>
            <w:r>
              <w:rPr>
                <w:rStyle w:val="1252"/>
                <w:rFonts w:hint="default"/>
                <w:color w:val="000000" w:themeColor="text1"/>
                <w:sz w:val="21"/>
                <w:szCs w:val="21"/>
                <w:lang w:bidi="ar"/>
              </w:rPr>
              <w:t xml:space="preserve">系统具有小动物手术平台，实现恒温调控加热，并配</w:t>
            </w:r>
            <w:r>
              <w:rPr>
                <w:rStyle w:val="1252"/>
                <w:rFonts w:hint="default"/>
                <w:color w:val="000000" w:themeColor="text1"/>
                <w:sz w:val="21"/>
                <w:szCs w:val="21"/>
                <w:lang w:bidi="ar"/>
              </w:rPr>
              <w:t xml:space="preserve">液晶触摸屏式生理信息检测系统，实时采集体温、心率参数，数据内嵌在主机系统并在系统主机上实时显示；</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4、</w:t>
            </w:r>
            <w:r>
              <w:rPr>
                <w:rStyle w:val="1252"/>
                <w:rFonts w:hint="default"/>
                <w:color w:val="000000" w:themeColor="text1"/>
                <w:sz w:val="21"/>
                <w:szCs w:val="21"/>
                <w:lang w:bidi="ar"/>
              </w:rPr>
              <w:t xml:space="preserve">配备B超声功能模块：高速帧频二维超声成像，可以电影图像回放、采集和播放，进行高级测量和注释</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5、</w:t>
            </w:r>
            <w:r>
              <w:rPr>
                <w:rStyle w:val="1252"/>
                <w:rFonts w:hint="default"/>
                <w:color w:val="000000" w:themeColor="text1"/>
                <w:sz w:val="21"/>
                <w:szCs w:val="21"/>
                <w:lang w:bidi="ar"/>
              </w:rPr>
              <w:t xml:space="preserve">配备M超声功能模块：高速帧频进行单线型超声扫描，实现高分辨率下心脏一维切线方向上的心血管功能测量和分析</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6、</w:t>
            </w:r>
            <w:r>
              <w:rPr>
                <w:rStyle w:val="1252"/>
                <w:rFonts w:hint="default"/>
                <w:color w:val="000000" w:themeColor="text1"/>
                <w:sz w:val="21"/>
                <w:szCs w:val="21"/>
                <w:lang w:bidi="ar"/>
              </w:rPr>
              <w:t xml:space="preserve">配备彩色多普勒功能模块：快速直观显示血流的二维平面分布状态，准确分辨区域内血流方向/平均流速并进行伪色处理，快速显示出血流的性质和流速在心脏、血管内的分布；</w:t>
            </w:r>
            <w:r/>
          </w:p>
          <w:p>
            <w:pPr>
              <w:rPr>
                <w:rStyle w:val="1252"/>
                <w:rFonts w:hint="default"/>
                <w:color w:val="auto"/>
                <w:sz w:val="21"/>
                <w:szCs w:val="21"/>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126" w:type="dxa"/>
            <w:vAlign w:val="center"/>
            <w:textDirection w:val="lrTb"/>
            <w:noWrap w:val="false"/>
          </w:tcPr>
          <w:p>
            <w:pPr>
              <w:jc w:val="left"/>
              <w:rPr>
                <w:rStyle w:val="1252"/>
                <w:rFonts w:hint="default"/>
                <w:b/>
                <w:color w:val="auto"/>
                <w:sz w:val="21"/>
                <w:szCs w:val="21"/>
              </w:rPr>
            </w:pPr>
            <w:r>
              <w:rPr>
                <w:rStyle w:val="1252"/>
                <w:rFonts w:hint="default"/>
                <w:color w:val="auto"/>
                <w:sz w:val="21"/>
                <w:szCs w:val="21"/>
              </w:rPr>
              <w:t xml:space="preserve">投标人需按照要求制作演示视频文件，视频文件的格式为*.mp4或*.avi，投标人须将视频文件分段压缩为*.zip文件上传（单个文件不得</w:t>
            </w:r>
            <w:r>
              <w:rPr>
                <w:rStyle w:val="1252"/>
                <w:rFonts w:hint="default"/>
                <w:color w:val="auto"/>
                <w:sz w:val="21"/>
                <w:szCs w:val="21"/>
              </w:rPr>
              <w:t xml:space="preserve">大于50M，所有文件总共不得大于300M）。文件上</w:t>
            </w:r>
            <w:r>
              <w:rPr>
                <w:rStyle w:val="1252"/>
                <w:rFonts w:hint="default"/>
                <w:color w:val="auto"/>
                <w:sz w:val="21"/>
                <w:szCs w:val="21"/>
              </w:rPr>
              <w:t xml:space="preserve">传方式见</w:t>
            </w:r>
            <w:r>
              <w:rPr>
                <w:rStyle w:val="1252"/>
                <w:rFonts w:hint="default"/>
                <w:color w:val="auto"/>
                <w:sz w:val="21"/>
                <w:szCs w:val="21"/>
              </w:rPr>
              <w:t xml:space="preserve">《操作手册》规定，上传的演示视频将作为投标文件的组成部分，每个视频时长总计不超过5分钟。</w:t>
            </w:r>
            <w:r/>
          </w:p>
          <w:p>
            <w:pPr>
              <w:jc w:val="left"/>
              <w:rPr>
                <w:rStyle w:val="1252"/>
                <w:rFonts w:hint="default"/>
                <w:b/>
                <w:color w:val="auto"/>
                <w:sz w:val="21"/>
                <w:szCs w:val="21"/>
              </w:rPr>
            </w:pPr>
            <w:r>
              <w:rPr>
                <w:rStyle w:val="1252"/>
                <w:rFonts w:hint="default"/>
                <w:b/>
                <w:color w:val="auto"/>
                <w:sz w:val="21"/>
                <w:szCs w:val="21"/>
              </w:rPr>
              <w:t xml:space="preserve">注：</w:t>
            </w:r>
            <w:r/>
          </w:p>
          <w:p>
            <w:pPr>
              <w:jc w:val="left"/>
              <w:rPr>
                <w:rStyle w:val="1252"/>
                <w:rFonts w:hint="default"/>
                <w:bCs/>
                <w:color w:val="auto"/>
                <w:sz w:val="21"/>
                <w:szCs w:val="21"/>
                <w:highlight w:val="yellow"/>
              </w:rPr>
            </w:pPr>
            <w:r>
              <w:rPr>
                <w:rStyle w:val="1252"/>
                <w:rFonts w:hint="default"/>
                <w:bCs/>
                <w:color w:val="auto"/>
                <w:sz w:val="21"/>
                <w:szCs w:val="21"/>
                <w:highlight w:val="yellow"/>
              </w:rPr>
              <w:t xml:space="preserve">1、需用视频进行清晰演示，PPT演示不得分。</w:t>
            </w:r>
            <w:r/>
          </w:p>
          <w:p>
            <w:pPr>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客观分</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rPr>
              <w:t xml:space="preserve">38</w:t>
            </w:r>
            <w:r/>
          </w:p>
        </w:tc>
        <w:tc>
          <w:tcPr>
            <w:tcW w:w="5470"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业绩</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lang w:bidi="ar"/>
              </w:rPr>
              <w:t xml:space="preserve">6</w:t>
            </w:r>
            <w:r/>
          </w:p>
        </w:tc>
        <w:tc>
          <w:tcPr>
            <w:tcW w:w="5470" w:type="dxa"/>
            <w:vAlign w:val="center"/>
            <w:textDirection w:val="lrTb"/>
            <w:noWrap w:val="false"/>
          </w:tcPr>
          <w:p>
            <w:pPr>
              <w:rPr>
                <w:rStyle w:val="1252"/>
                <w:rFonts w:hint="default"/>
                <w:color w:val="000000" w:themeColor="text1"/>
                <w:sz w:val="21"/>
                <w:szCs w:val="21"/>
                <w:lang w:bidi="ar"/>
              </w:rPr>
            </w:pPr>
            <w:r>
              <w:rPr>
                <w:rStyle w:val="1252"/>
                <w:rFonts w:hint="default"/>
                <w:color w:val="000000" w:themeColor="text1"/>
                <w:sz w:val="21"/>
                <w:szCs w:val="21"/>
                <w:lang w:bidi="ar"/>
              </w:rPr>
              <w:t xml:space="preserve">1、提供自2022年11月1日起，投标人承担过类似</w:t>
            </w:r>
            <w:r>
              <w:rPr>
                <w:rStyle w:val="1252"/>
                <w:rFonts w:hint="default"/>
                <w:color w:val="000000" w:themeColor="text1"/>
                <w:sz w:val="21"/>
                <w:szCs w:val="21"/>
                <w:lang w:bidi="ar"/>
              </w:rPr>
              <w:t xml:space="preserve">动物学与细胞培养仪器</w:t>
            </w:r>
            <w:r>
              <w:rPr>
                <w:rStyle w:val="1252"/>
                <w:rFonts w:hint="default"/>
                <w:color w:val="000000" w:themeColor="text1"/>
                <w:sz w:val="21"/>
                <w:szCs w:val="21"/>
                <w:lang w:bidi="ar"/>
              </w:rPr>
              <w:t xml:space="preserve">设备供货合同（合同中内容须包含</w:t>
            </w:r>
            <w:r>
              <w:rPr>
                <w:rStyle w:val="1252"/>
                <w:rFonts w:hint="default"/>
                <w:color w:val="000000" w:themeColor="text1"/>
                <w:sz w:val="21"/>
                <w:szCs w:val="21"/>
                <w:lang w:bidi="ar"/>
              </w:rPr>
              <w:t xml:space="preserve">小动物彩超</w:t>
            </w:r>
            <w:r>
              <w:rPr>
                <w:rStyle w:val="1252"/>
                <w:rFonts w:hint="default"/>
                <w:color w:val="000000" w:themeColor="text1"/>
                <w:sz w:val="21"/>
                <w:szCs w:val="21"/>
                <w:lang w:bidi="ar"/>
              </w:rPr>
              <w:t xml:space="preserve">产品），有一个得2分，本项最高得2分。</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2、提供自2022年11月1日起，投标人承担过类似</w:t>
            </w:r>
            <w:r>
              <w:rPr>
                <w:rStyle w:val="1252"/>
                <w:rFonts w:hint="default"/>
                <w:color w:val="000000" w:themeColor="text1"/>
                <w:sz w:val="21"/>
                <w:szCs w:val="21"/>
                <w:lang w:bidi="ar"/>
              </w:rPr>
              <w:t xml:space="preserve">动物学与细胞培养仪器</w:t>
            </w:r>
            <w:r>
              <w:rPr>
                <w:rStyle w:val="1252"/>
                <w:rFonts w:hint="default"/>
                <w:color w:val="000000" w:themeColor="text1"/>
                <w:sz w:val="21"/>
                <w:szCs w:val="21"/>
                <w:lang w:bidi="ar"/>
              </w:rPr>
              <w:t xml:space="preserve">设备供货合同（合同中内容须包含</w:t>
            </w:r>
            <w:r>
              <w:rPr>
                <w:rStyle w:val="1252"/>
                <w:rFonts w:hint="default"/>
                <w:color w:val="000000" w:themeColor="text1"/>
                <w:sz w:val="21"/>
                <w:szCs w:val="21"/>
                <w:lang w:bidi="ar"/>
              </w:rPr>
              <w:t xml:space="preserve">小动物代谢监测系统</w:t>
            </w:r>
            <w:r>
              <w:rPr>
                <w:rStyle w:val="1252"/>
                <w:rFonts w:hint="default"/>
                <w:color w:val="000000" w:themeColor="text1"/>
                <w:sz w:val="21"/>
                <w:szCs w:val="21"/>
                <w:lang w:bidi="ar"/>
              </w:rPr>
              <w:t xml:space="preserve">产品），有一个得2分，本项最高得2分。</w:t>
            </w:r>
            <w:r/>
          </w:p>
          <w:p>
            <w:pP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3、提供自2022年11月1日起，投标人承担过类似</w:t>
            </w:r>
            <w:r>
              <w:rPr>
                <w:rStyle w:val="1252"/>
                <w:rFonts w:hint="default"/>
                <w:color w:val="000000" w:themeColor="text1"/>
                <w:sz w:val="21"/>
                <w:szCs w:val="21"/>
                <w:lang w:bidi="ar"/>
              </w:rPr>
              <w:t xml:space="preserve">动物学与细胞培养仪器</w:t>
            </w:r>
            <w:r>
              <w:rPr>
                <w:rStyle w:val="1252"/>
                <w:rFonts w:hint="default"/>
                <w:color w:val="000000" w:themeColor="text1"/>
                <w:sz w:val="21"/>
                <w:szCs w:val="21"/>
                <w:lang w:bidi="ar"/>
              </w:rPr>
              <w:t xml:space="preserve">设备供货合同（合同中内容须包含</w:t>
            </w:r>
            <w:r>
              <w:rPr>
                <w:rStyle w:val="1252"/>
                <w:rFonts w:hint="default"/>
                <w:color w:val="000000" w:themeColor="text1"/>
                <w:sz w:val="21"/>
                <w:szCs w:val="21"/>
                <w:lang w:bidi="ar"/>
              </w:rPr>
              <w:t xml:space="preserve">小动物CT</w:t>
            </w:r>
            <w:r>
              <w:rPr>
                <w:rStyle w:val="1252"/>
                <w:rFonts w:hint="default"/>
                <w:color w:val="000000" w:themeColor="text1"/>
                <w:sz w:val="21"/>
                <w:szCs w:val="21"/>
                <w:lang w:bidi="ar"/>
              </w:rPr>
              <w:t xml:space="preserve">产品），有一个得2分，本项最高得2分。</w:t>
            </w:r>
            <w:r/>
          </w:p>
          <w:p>
            <w:pP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以上最高得6分</w:t>
            </w:r>
            <w:r/>
          </w:p>
        </w:tc>
        <w:tc>
          <w:tcPr>
            <w:tcW w:w="212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1、投标人提供业绩的合同。（如合同中无法体现相关内容的，须另提供原采购单位出具的相关证明材料加盖原采购单位公章）。</w:t>
            </w:r>
            <w:r/>
          </w:p>
          <w:p>
            <w:pPr>
              <w:widowControl/>
              <w:rPr>
                <w:rStyle w:val="1252"/>
                <w:rFonts w:hint="default"/>
                <w:color w:val="auto"/>
                <w:sz w:val="21"/>
                <w:szCs w:val="21"/>
                <w:lang w:bidi="ar"/>
              </w:rPr>
            </w:pPr>
            <w:r>
              <w:rPr>
                <w:rStyle w:val="1252"/>
                <w:rFonts w:hint="default"/>
                <w:color w:val="auto"/>
                <w:sz w:val="21"/>
                <w:szCs w:val="21"/>
                <w:lang w:bidi="ar"/>
              </w:rPr>
              <w:t xml:space="preserve">2、</w:t>
            </w:r>
            <w:r>
              <w:rPr>
                <w:rStyle w:val="1252"/>
                <w:rFonts w:hint="default"/>
                <w:color w:val="auto"/>
                <w:sz w:val="21"/>
                <w:szCs w:val="21"/>
                <w:lang w:bidi="ar"/>
              </w:rPr>
              <w:t xml:space="preserve">时间以签订合同时间为准。</w:t>
            </w:r>
            <w:r/>
          </w:p>
          <w:p>
            <w:pPr>
              <w:widowControl/>
              <w:rPr>
                <w:rStyle w:val="1252"/>
                <w:rFonts w:hint="default"/>
                <w:color w:val="auto"/>
                <w:sz w:val="21"/>
                <w:szCs w:val="21"/>
                <w:lang w:bidi="ar"/>
              </w:rPr>
            </w:pPr>
            <w:r>
              <w:rPr>
                <w:rStyle w:val="1252"/>
                <w:rFonts w:hint="default"/>
                <w:color w:val="auto"/>
                <w:sz w:val="21"/>
                <w:szCs w:val="21"/>
                <w:highlight w:val="yellow"/>
                <w:lang w:bidi="ar"/>
              </w:rPr>
              <w:t xml:space="preserve">3、合同中同时包含</w:t>
            </w:r>
            <w:r>
              <w:rPr>
                <w:rStyle w:val="1252"/>
                <w:rFonts w:hint="default"/>
                <w:color w:val="auto"/>
                <w:sz w:val="21"/>
                <w:szCs w:val="21"/>
                <w:highlight w:val="yellow"/>
                <w:lang w:bidi="ar"/>
              </w:rPr>
              <w:t xml:space="preserve">小动物彩超</w:t>
            </w:r>
            <w:r>
              <w:rPr>
                <w:rStyle w:val="1252"/>
                <w:rFonts w:hint="default"/>
                <w:color w:val="auto"/>
                <w:sz w:val="21"/>
                <w:szCs w:val="21"/>
                <w:highlight w:val="yellow"/>
                <w:lang w:bidi="ar"/>
              </w:rPr>
              <w:t xml:space="preserve">、</w:t>
            </w:r>
            <w:r>
              <w:rPr>
                <w:rStyle w:val="1252"/>
                <w:rFonts w:hint="default"/>
                <w:color w:val="auto"/>
                <w:sz w:val="21"/>
                <w:szCs w:val="21"/>
                <w:highlight w:val="yellow"/>
                <w:lang w:bidi="ar"/>
              </w:rPr>
              <w:t xml:space="preserve">小动物代谢监测系统</w:t>
            </w:r>
            <w:r>
              <w:rPr>
                <w:rStyle w:val="1252"/>
                <w:rFonts w:hint="default"/>
                <w:color w:val="auto"/>
                <w:sz w:val="21"/>
                <w:szCs w:val="21"/>
                <w:highlight w:val="yellow"/>
                <w:lang w:bidi="ar"/>
              </w:rPr>
              <w:t xml:space="preserve">、</w:t>
            </w:r>
            <w:r>
              <w:rPr>
                <w:rStyle w:val="1252"/>
                <w:rFonts w:hint="default"/>
                <w:color w:val="auto"/>
                <w:sz w:val="21"/>
                <w:szCs w:val="21"/>
                <w:highlight w:val="yellow"/>
                <w:lang w:bidi="ar"/>
              </w:rPr>
              <w:t xml:space="preserve">小动物CT</w:t>
            </w:r>
            <w:r>
              <w:rPr>
                <w:rStyle w:val="1252"/>
                <w:rFonts w:hint="default"/>
                <w:color w:val="auto"/>
                <w:sz w:val="21"/>
                <w:szCs w:val="21"/>
                <w:highlight w:val="yellow"/>
                <w:lang w:bidi="ar"/>
              </w:rPr>
              <w:t xml:space="preserve">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30</w:t>
            </w:r>
            <w:r/>
          </w:p>
        </w:tc>
        <w:tc>
          <w:tcPr>
            <w:tcW w:w="5470" w:type="dxa"/>
            <w:vAlign w:val="center"/>
            <w:textDirection w:val="lrTb"/>
            <w:noWrap w:val="false"/>
          </w:tcPr>
          <w:p>
            <w:pP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打“▲”的每项负偏离扣1分，扣完为止。</w:t>
            </w:r>
            <w:r/>
          </w:p>
        </w:tc>
        <w:tc>
          <w:tcPr>
            <w:tcW w:w="2126" w:type="dxa"/>
            <w:vAlign w:val="center"/>
            <w:textDirection w:val="lrTb"/>
            <w:noWrap w:val="false"/>
          </w:tcPr>
          <w:p>
            <w:pP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“▲”提供投标人或生产厂家的相关证明材料任意一种包括不限于：</w:t>
            </w:r>
            <w:bookmarkStart w:id="291" w:name="_Hlk206157369"/>
            <w:r>
              <w:rPr>
                <w:rStyle w:val="1252"/>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产品注册证、有效检测报告、使用说明书（如生产厂家的产品使用说明书为英文版，请同时提供中文版）、产品技术白皮书、产品铭牌、实物照片、</w:t>
            </w:r>
            <w:r>
              <w:rPr>
                <w:rStyle w:val="1252"/>
                <w:rFonts w:hint="default"/>
                <w:b/>
                <w:bCs/>
                <w:color w:val="000000" w:themeColor="text1"/>
                <w:sz w:val="21"/>
                <w:szCs w:val="21"/>
                <w:lang w:bidi="ar"/>
              </w:rPr>
              <w:t xml:space="preserve">官网截</w:t>
            </w:r>
            <w:r>
              <w:rPr>
                <w:rStyle w:val="1252"/>
                <w:rFonts w:hint="default"/>
                <w:b/>
                <w:bCs/>
                <w:color w:val="000000" w:themeColor="text1"/>
                <w:sz w:val="21"/>
                <w:szCs w:val="21"/>
                <w:lang w:bidi="ar"/>
              </w:rPr>
              <w:t xml:space="preserve">图、功能界面截图等</w:t>
            </w:r>
            <w:bookmarkEnd w:id="291"/>
            <w:r>
              <w:rPr>
                <w:rStyle w:val="1252"/>
                <w:rFonts w:hint="default"/>
                <w:color w:val="000000" w:themeColor="text1"/>
                <w:sz w:val="21"/>
                <w:szCs w:val="21"/>
                <w:lang w:bidi="ar"/>
              </w:rPr>
              <w:t xml:space="preserve">。其余参数，在技</w:t>
            </w:r>
            <w:r>
              <w:rPr>
                <w:rStyle w:val="1252"/>
                <w:rFonts w:hint="default"/>
                <w:color w:val="000000" w:themeColor="text1"/>
                <w:sz w:val="21"/>
                <w:szCs w:val="21"/>
                <w:lang w:bidi="ar"/>
              </w:rPr>
              <w:t xml:space="preserve">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52"/>
                <w:rFonts w:hint="default"/>
                <w:color w:val="auto"/>
                <w:sz w:val="21"/>
                <w:szCs w:val="21"/>
                <w:lang w:bidi="ar"/>
              </w:rPr>
              <w:t xml:space="preserve">合计</w:t>
            </w:r>
            <w:r/>
          </w:p>
        </w:tc>
        <w:tc>
          <w:tcPr>
            <w:tcW w:w="127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rPr>
              <w:t xml:space="preserve">100</w:t>
            </w:r>
            <w:r/>
          </w:p>
        </w:tc>
        <w:tc>
          <w:tcPr>
            <w:tcW w:w="5470"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52"/>
                <w:rFonts w:hint="default"/>
                <w:color w:val="auto"/>
                <w:sz w:val="21"/>
                <w:szCs w:val="21"/>
                <w:lang w:bidi="ar"/>
              </w:rPr>
            </w:pPr>
            <w:r>
              <w:rPr>
                <w:rFonts w:hint="default"/>
                <w:color w:val="auto"/>
                <w:sz w:val="21"/>
                <w:szCs w:val="21"/>
                <w:lang w:bidi="ar"/>
              </w:rPr>
            </w:r>
            <w:bookmarkEnd w:id="290"/>
            <w:r/>
          </w:p>
        </w:tc>
      </w:tr>
    </w:tbl>
    <w:p>
      <w:pPr>
        <w:pStyle w:val="1199"/>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199"/>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bookmarkEnd w:id="253"/>
      <w:bookmarkEnd w:id="254"/>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南医大常州医疗健康科技园新建工程一期动物学与细胞培养仪器设备采购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包含小动物代谢监测系统设备、小动物彩超、小动物CT、小动物活体可见光成像系统设备等相关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15168" w:type="dxa"/>
        <w:tblInd w:w="-4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10"/>
        <w:gridCol w:w="1276"/>
        <w:gridCol w:w="11765"/>
        <w:gridCol w:w="709"/>
        <w:gridCol w:w="708"/>
      </w:tblGrid>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设备名称</w:t>
            </w:r>
            <w:r/>
          </w:p>
        </w:tc>
        <w:tc>
          <w:tcPr>
            <w:tcW w:w="11765"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技术参数</w:t>
            </w:r>
            <w:r/>
          </w:p>
        </w:tc>
        <w:tc>
          <w:tcPr>
            <w:tcW w:w="709"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W w:w="70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混匀仪</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1、运行模式：5秒至99小时30分钟计时；连续运行。</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2、混匀频率：300</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3,000 rpm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3、温控范围：室温以下1</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至</w:t>
            </w:r>
            <w:r>
              <w:rPr>
                <w:rFonts w:asciiTheme="minorEastAsia" w:hAnsiTheme="minorEastAsia" w:eastAsiaTheme="minorEastAsia"/>
                <w:szCs w:val="21"/>
              </w:rPr>
              <w:t xml:space="preserve">100℃</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4、升温速率：≥</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℃/分钟；降温速率：≥2.5℃/分钟，温度精确度：≤±0.5°C。</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5、二维混匀操控技术，确保混匀效果；防溅射技术，有效</w:t>
            </w:r>
            <w:r>
              <w:rPr>
                <w:rFonts w:asciiTheme="minorEastAsia" w:hAnsiTheme="minorEastAsia" w:eastAsiaTheme="minorEastAsia"/>
                <w:szCs w:val="21"/>
              </w:rPr>
              <w:t xml:space="preserve">防止管盖润湿</w:t>
            </w:r>
            <w:r>
              <w:rPr>
                <w:rFonts w:asciiTheme="minorEastAsia" w:hAnsiTheme="minorEastAsia" w:eastAsiaTheme="minorEastAsia"/>
                <w:szCs w:val="21"/>
              </w:rPr>
              <w:t xml:space="preserve">和交叉污染。</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6、具有独立瞬时混匀功能，实现快速随心混匀。</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7、</w:t>
            </w:r>
            <w:r>
              <w:rPr>
                <w:rFonts w:asciiTheme="minorEastAsia" w:hAnsiTheme="minorEastAsia" w:eastAsiaTheme="minorEastAsia"/>
                <w:szCs w:val="21"/>
              </w:rPr>
              <w:t xml:space="preserve">配热盖</w:t>
            </w:r>
            <w:r>
              <w:rPr>
                <w:rFonts w:asciiTheme="minorEastAsia" w:hAnsiTheme="minorEastAsia" w:eastAsiaTheme="minorEastAsia"/>
                <w:szCs w:val="21"/>
              </w:rPr>
              <w:t xml:space="preserve">，具备防冷凝保护技术，有效</w:t>
            </w:r>
            <w:r>
              <w:rPr>
                <w:rFonts w:asciiTheme="minorEastAsia" w:hAnsiTheme="minorEastAsia" w:eastAsiaTheme="minorEastAsia"/>
                <w:szCs w:val="21"/>
              </w:rPr>
              <w:t xml:space="preserve">防止管盖和</w:t>
            </w:r>
            <w:r>
              <w:rPr>
                <w:rFonts w:asciiTheme="minorEastAsia" w:hAnsiTheme="minorEastAsia" w:eastAsiaTheme="minorEastAsia"/>
                <w:szCs w:val="21"/>
              </w:rPr>
              <w:t xml:space="preserve">管壁上产生冷凝水，提高温度均</w:t>
            </w:r>
            <w:r>
              <w:rPr>
                <w:rFonts w:asciiTheme="minorEastAsia" w:hAnsiTheme="minorEastAsia" w:eastAsiaTheme="minorEastAsia"/>
                <w:szCs w:val="21"/>
              </w:rPr>
              <w:t xml:space="preserve">一</w:t>
            </w:r>
            <w:r>
              <w:rPr>
                <w:rFonts w:asciiTheme="minorEastAsia" w:hAnsiTheme="minorEastAsia" w:eastAsiaTheme="minorEastAsia"/>
                <w:szCs w:val="21"/>
              </w:rPr>
              <w:t xml:space="preserve">性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8、多种加热模块可选，且自动识别，可实现常见离心管和工作板（5μL至50mL）的加热、冷却和混匀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9、加热模块缘隔热防烫设计，安全可靠。</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10、具有多样化程序编辑功能，可保存20个用户自定义程序，可实现如不同温度孵育、间歇式混匀等，操作更简便。</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11、配扩展支架，提供第二个孵育温度，实现12x1.5mL扩容独立处理 </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超净工作台</w:t>
            </w:r>
            <w:r/>
          </w:p>
        </w:tc>
        <w:tc>
          <w:tcPr>
            <w:tcW w:w="11765" w:type="dxa"/>
            <w:vAlign w:val="center"/>
            <w:textDirection w:val="lrTb"/>
            <w:noWrap w:val="false"/>
          </w:tcPr>
          <w:p>
            <w:pPr>
              <w:rPr>
                <w:rFonts w:hint="eastAsia" w:asciiTheme="minorEastAsia" w:hAnsiTheme="minorEastAsia" w:eastAsiaTheme="minorEastAsia"/>
                <w:szCs w:val="21"/>
              </w:rPr>
            </w:pPr>
            <w:r>
              <w:rPr>
                <w:rFonts w:cs="Segoe UI Symbol" w:asciiTheme="minorEastAsia" w:hAnsiTheme="minorEastAsia" w:eastAsiaTheme="minorEastAsia"/>
                <w:szCs w:val="21"/>
              </w:rPr>
              <w:t xml:space="preserve">★</w:t>
            </w:r>
            <w:r>
              <w:rPr>
                <w:rFonts w:asciiTheme="minorEastAsia" w:hAnsiTheme="minorEastAsia" w:eastAsiaTheme="minorEastAsia"/>
                <w:szCs w:val="21"/>
              </w:rPr>
              <w:t xml:space="preserve">1、内部尺寸≥（L×D×H）9</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0mm×5</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0mm×650mm。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2、气流流速：0.30</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0.45m/s。</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3、紫外灯功率：40W。</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4、前窗玻璃最大开口高度≥4</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0mm。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5、噪音：≤65dB(A)。</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6、产品安全性：菌落数≤0.5CFU/30min；洁净ISO等级5（100级)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7、过滤效率:过滤器均采用无隔板高效过滤器，对直径0.3μm颗粒过滤效率至少为99.99%。</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8、工作区采用四面（左右二侧、后部、底部）正压环绕设计工作区内，保护产品；可在洁净台前部更换、维修风机及过滤器。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9、箱体部分采用</w:t>
            </w:r>
            <w:r>
              <w:rPr>
                <w:rFonts w:asciiTheme="minorEastAsia" w:hAnsiTheme="minorEastAsia" w:eastAsiaTheme="minorEastAsia"/>
                <w:szCs w:val="21"/>
              </w:rPr>
              <w:t xml:space="preserve">≥</w:t>
            </w:r>
            <w:r>
              <w:rPr>
                <w:rFonts w:asciiTheme="minorEastAsia" w:hAnsiTheme="minorEastAsia" w:eastAsiaTheme="minorEastAsia"/>
                <w:szCs w:val="21"/>
              </w:rPr>
              <w:t xml:space="preserve">1.2mm厚的冷轧钢板且表面静电喷涂，增强了结构强度，整个装置更加稳重。</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10、工作区台面为304不锈钢材质。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控制面板采用轻触式开关，按键由风机键、照明键、紫外键、电源键、插座键、风量减小键、风量增大键组成，易于操作；LCD显示屏显示内容有：显示实时风速和档位、显示时间、紫外灯的累计工作时间、过滤器的累计工作时间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12、洁净台前视窗是采用</w:t>
            </w:r>
            <w:r>
              <w:rPr>
                <w:rFonts w:asciiTheme="minorEastAsia" w:hAnsiTheme="minorEastAsia" w:eastAsiaTheme="minorEastAsia"/>
                <w:szCs w:val="21"/>
              </w:rPr>
              <w:t xml:space="preserve">≥</w:t>
            </w:r>
            <w:r>
              <w:rPr>
                <w:rFonts w:asciiTheme="minorEastAsia" w:hAnsiTheme="minorEastAsia" w:eastAsiaTheme="minorEastAsia"/>
                <w:szCs w:val="21"/>
              </w:rPr>
              <w:t xml:space="preserve">5mm厚钢化玻璃的手动视窗，通过手动控制，可以在行程范围内的任意高度停止，双侧玻璃视窗。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13、照明≥350lx。</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14、福马脚轮设计，方便柜体移动与固定。</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15、紫外灯与风机、日光灯互锁功能，即当风机、日光灯工作时，紫外</w:t>
            </w:r>
            <w:r>
              <w:rPr>
                <w:rFonts w:asciiTheme="minorEastAsia" w:hAnsiTheme="minorEastAsia" w:eastAsiaTheme="minorEastAsia"/>
                <w:szCs w:val="21"/>
              </w:rPr>
              <w:t xml:space="preserve">灯无法</w:t>
            </w:r>
            <w:r>
              <w:rPr>
                <w:rFonts w:asciiTheme="minorEastAsia" w:hAnsiTheme="minorEastAsia" w:eastAsiaTheme="minorEastAsia"/>
                <w:szCs w:val="21"/>
              </w:rPr>
              <w:t xml:space="preserve">开启，保护操作人员。</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16、设置前视窗开口安全高度200-350mm，在低于或高于安全高度时机器报警，保证设备使用时性能稳定。</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17、预留PAO检测口，检测高效过滤器完整性。</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4度冰箱</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（一）冷冻冰箱技术参数要求</w:t>
            </w:r>
            <w:r>
              <w:rPr>
                <w:rFonts w:hint="eastAsia" w:asciiTheme="minorEastAsia" w:hAnsiTheme="minorEastAsia" w:eastAsiaTheme="minorEastAsia"/>
                <w:szCs w:val="21"/>
              </w:rPr>
              <w:t xml:space="preserve">：</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1、温度范围-10</w:t>
            </w:r>
            <w:r>
              <w:rPr>
                <w:rFonts w:asciiTheme="minorEastAsia" w:hAnsiTheme="minorEastAsia" w:eastAsiaTheme="minorEastAsia"/>
                <w:szCs w:val="21"/>
              </w:rPr>
              <w:t xml:space="preserve">℃</w:t>
            </w:r>
            <w:r>
              <w:rPr>
                <w:rFonts w:asciiTheme="minorEastAsia" w:hAnsiTheme="minorEastAsia" w:eastAsiaTheme="minorEastAsia"/>
                <w:szCs w:val="21"/>
              </w:rPr>
              <w:t xml:space="preserve">～-25</w:t>
            </w:r>
            <w:r>
              <w:rPr>
                <w:rFonts w:asciiTheme="minorEastAsia" w:hAnsiTheme="minorEastAsia" w:eastAsiaTheme="minorEastAsia"/>
                <w:szCs w:val="21"/>
              </w:rPr>
              <w:t xml:space="preserve">℃</w:t>
            </w:r>
            <w:r>
              <w:rPr>
                <w:rFonts w:asciiTheme="minorEastAsia" w:hAnsiTheme="minorEastAsia" w:eastAsiaTheme="minorEastAsia"/>
                <w:szCs w:val="21"/>
              </w:rPr>
              <w:t xml:space="preserve">可调节，控温精度0.1℃；有效容积≥260L；</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2、微电脑控制，LCD数码显示箱内温度，显示精度0.1℃；</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3、具有多种故障报警：高温报警、低温报警、传感器故障报警、开门报警、断电报警、</w:t>
            </w:r>
            <w:r>
              <w:rPr>
                <w:rFonts w:asciiTheme="minorEastAsia" w:hAnsiTheme="minorEastAsia" w:eastAsiaTheme="minorEastAsia"/>
                <w:szCs w:val="21"/>
              </w:rPr>
              <w:t xml:space="preserve">环温高</w:t>
            </w:r>
            <w:r>
              <w:rPr>
                <w:rFonts w:asciiTheme="minorEastAsia" w:hAnsiTheme="minorEastAsia" w:eastAsiaTheme="minorEastAsia"/>
                <w:szCs w:val="21"/>
              </w:rPr>
              <w:t xml:space="preserve">报警；声光报警、远程报警接口；</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4、多重保护功能：开机延时保护、停机间隔保护、显示面板保护、断电记忆数据保护、传感器故障保护运行；具有断电报警功能，且在产品断电后能有数字温度显示20小时以上；</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5、宽电压带，适合187</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242V电压下使用；输入功率165W，设备稳定运行耗电量低至1KWH/24H；</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6、采用</w:t>
            </w:r>
            <w:r>
              <w:rPr>
                <w:rFonts w:asciiTheme="minorEastAsia" w:hAnsiTheme="minorEastAsia" w:eastAsiaTheme="minorEastAsia"/>
                <w:color w:val="000000" w:themeColor="text1"/>
                <w:szCs w:val="21"/>
              </w:rPr>
              <w:t xml:space="preserve">HC环保制冷剂和制冷系统，LBA</w:t>
            </w:r>
            <w:r>
              <w:rPr>
                <w:rFonts w:asciiTheme="minorEastAsia" w:hAnsiTheme="minorEastAsia" w:eastAsiaTheme="minorEastAsia"/>
                <w:szCs w:val="21"/>
              </w:rPr>
              <w:t xml:space="preserve">无氟发泡，优化制冷系统设计，特性点温度均匀性≤±3℃；</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7、搁架式蒸发器设计，保证箱内温度在最短的时间内降到用户需要温度；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8、外部尺寸：≤700*7</w:t>
            </w:r>
            <w:r>
              <w:rPr>
                <w:rFonts w:hint="eastAsia" w:asciiTheme="minorEastAsia" w:hAnsiTheme="minorEastAsia" w:eastAsiaTheme="minorEastAsia"/>
                <w:szCs w:val="21"/>
              </w:rPr>
              <w:t xml:space="preserve">50</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700</w:t>
            </w:r>
            <w:r>
              <w:rPr>
                <w:rFonts w:asciiTheme="minorEastAsia" w:hAnsiTheme="minorEastAsia" w:eastAsiaTheme="minorEastAsia"/>
                <w:szCs w:val="21"/>
              </w:rPr>
              <w:t xml:space="preserve">mm；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9、超厚保温层设计≥8</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mm，门体可拆卸式密封条设计，</w:t>
            </w:r>
            <w:r>
              <w:rPr>
                <w:rFonts w:asciiTheme="minorEastAsia" w:hAnsiTheme="minorEastAsia" w:eastAsiaTheme="minorEastAsia"/>
                <w:szCs w:val="21"/>
              </w:rPr>
              <w:t xml:space="preserve">顶部双</w:t>
            </w:r>
            <w:r>
              <w:rPr>
                <w:rFonts w:asciiTheme="minorEastAsia" w:hAnsiTheme="minorEastAsia" w:eastAsiaTheme="minorEastAsia"/>
                <w:szCs w:val="21"/>
              </w:rPr>
              <w:t xml:space="preserve">密封设计，更好的保证保温节能效果；</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10、门体机械暗锁+锁扣设计，既一把钥匙开一把锁，又可增加外挂锁，实现多人管理，更安全；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11、7个独立塑料抽屉设计，可分开存储不同类型的物品，防止保存物品交叉影响；</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12、测试孔设计，方便用户测试使用；平衡阀设计，开门更方便；优化脚轮+底脚设计，便于移动和锁定；</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13、优化系统与结构低噪音设计，运行噪音≤35dB；</w:t>
            </w:r>
            <w:r/>
          </w:p>
          <w:p>
            <w:pPr>
              <w:rPr>
                <w:rFonts w:hint="eastAsia" w:asciiTheme="minorEastAsia" w:hAnsiTheme="minorEastAsia" w:eastAsiaTheme="minorEastAsia"/>
                <w:szCs w:val="21"/>
              </w:rPr>
            </w:pPr>
            <w:r>
              <w:rPr>
                <w:rFonts w:asciiTheme="minorEastAsia" w:hAnsiTheme="minorEastAsia" w:eastAsiaTheme="minorEastAsia"/>
                <w:szCs w:val="21"/>
              </w:rPr>
              <w:t xml:space="preserve">（二）冷藏冰箱技术参数要求</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1、温度2-8℃，箱内有效容积≥3</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0L；外部尺寸≤600mm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0mm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90</w:t>
            </w:r>
            <w:r>
              <w:rPr>
                <w:rFonts w:asciiTheme="minorEastAsia" w:hAnsiTheme="minorEastAsia" w:eastAsiaTheme="minorEastAsia"/>
                <w:szCs w:val="21"/>
              </w:rPr>
              <w:t xml:space="preserve">0mm；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2、微电脑控制，箱内控</w:t>
            </w:r>
            <w:r>
              <w:rPr>
                <w:rFonts w:asciiTheme="minorEastAsia" w:hAnsiTheme="minorEastAsia" w:eastAsiaTheme="minorEastAsia"/>
                <w:szCs w:val="21"/>
              </w:rPr>
              <w:t xml:space="preserve">温范围</w:t>
            </w:r>
            <w:r>
              <w:rPr>
                <w:rFonts w:asciiTheme="minorEastAsia" w:hAnsiTheme="minorEastAsia" w:eastAsiaTheme="minorEastAsia"/>
                <w:szCs w:val="21"/>
              </w:rPr>
              <w:t xml:space="preserve">2-8℃，操作方便简洁，LCD液晶显示，实时显示箱内温度，观察方便；控温精度</w:t>
            </w:r>
            <w:r>
              <w:rPr>
                <w:rFonts w:hint="eastAsia" w:asciiTheme="minorEastAsia" w:hAnsiTheme="minorEastAsia" w:eastAsiaTheme="minorEastAsia"/>
                <w:szCs w:val="21"/>
              </w:rPr>
              <w:t xml:space="preserve">和</w:t>
            </w:r>
            <w:r>
              <w:rPr>
                <w:rFonts w:asciiTheme="minorEastAsia" w:hAnsiTheme="minorEastAsia" w:eastAsiaTheme="minorEastAsia"/>
                <w:szCs w:val="21"/>
              </w:rPr>
              <w:t xml:space="preserve">显示精度均为0.1℃；</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3、立式，单开真空玻璃门体，</w:t>
            </w:r>
            <w:r>
              <w:rPr>
                <w:rFonts w:asciiTheme="minorEastAsia" w:hAnsiTheme="minorEastAsia" w:eastAsiaTheme="minorEastAsia"/>
                <w:color w:val="000000" w:themeColor="text1"/>
                <w:szCs w:val="21"/>
              </w:rPr>
              <w:t xml:space="preserve">采用LBA无氟发泡，真</w:t>
            </w:r>
            <w:r>
              <w:rPr>
                <w:rFonts w:asciiTheme="minorEastAsia" w:hAnsiTheme="minorEastAsia" w:eastAsiaTheme="minorEastAsia"/>
                <w:szCs w:val="21"/>
              </w:rPr>
              <w:t xml:space="preserve">正完全绿色环保，外壳采用预涂钢板外壳，内胆采用PS吸附成型内胆，便于箱内清洁、消毒；</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4、采用</w:t>
            </w:r>
            <w:r>
              <w:rPr>
                <w:rFonts w:asciiTheme="minorEastAsia" w:hAnsiTheme="minorEastAsia" w:eastAsiaTheme="minorEastAsia"/>
                <w:szCs w:val="21"/>
              </w:rPr>
              <w:t xml:space="preserve">工业级</w:t>
            </w:r>
            <w:r>
              <w:rPr>
                <w:rFonts w:asciiTheme="minorEastAsia" w:hAnsiTheme="minorEastAsia" w:eastAsiaTheme="minorEastAsia"/>
                <w:szCs w:val="21"/>
              </w:rPr>
              <w:t xml:space="preserve">压缩机及风机，碳氢制冷剂，节能环保，质量可靠、性能稳定、使用寿命长；</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5、采用板式蒸发器设计，制冷速度快，丝管式冷凝器设计，散热效果好；</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6、采用高性能保温材料，保温效果好，风冷系统，保证箱体温度均匀度≤3℃，波动度≤4.5℃；</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w:t>
            </w:r>
            <w:r>
              <w:rPr>
                <w:rFonts w:asciiTheme="minorEastAsia" w:hAnsiTheme="minorEastAsia" w:eastAsiaTheme="minorEastAsia"/>
                <w:szCs w:val="21"/>
              </w:rPr>
              <w:t xml:space="preserve">搭配高</w:t>
            </w:r>
            <w:r>
              <w:rPr>
                <w:rFonts w:asciiTheme="minorEastAsia" w:hAnsiTheme="minorEastAsia" w:eastAsiaTheme="minorEastAsia"/>
                <w:szCs w:val="21"/>
              </w:rPr>
              <w:t xml:space="preserve">精度2路传感器设计，包括显示传感器，控制传感器；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8、感温探头置于甘油感温盒内，可选择检测温度或者仿生温度；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9、门体双层钢</w:t>
            </w:r>
            <w:r>
              <w:rPr>
                <w:rFonts w:asciiTheme="minorEastAsia" w:hAnsiTheme="minorEastAsia" w:eastAsiaTheme="minorEastAsia"/>
                <w:color w:val="000000" w:themeColor="text1"/>
                <w:szCs w:val="21"/>
              </w:rPr>
              <w:t xml:space="preserve">化LOW-E玻</w:t>
            </w:r>
            <w:r>
              <w:rPr>
                <w:rFonts w:asciiTheme="minorEastAsia" w:hAnsiTheme="minorEastAsia" w:eastAsiaTheme="minorEastAsia"/>
                <w:szCs w:val="21"/>
              </w:rPr>
              <w:t xml:space="preserve">璃并拥有上吹风，门体具有自关门设计，防止用户开门后忘记关门；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10、多重故障报警，具有蜂鸣报警、灯光闪烁报警方式，可实现高低温报警、传感器故障报警、断电报警；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11、产品配有一个测试孔，方便客户接入各式设备，对箱内温度进行监测；</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12、多层搁架设计，搁架间距可调，充分利用箱内空间；</w:t>
            </w:r>
            <w:r>
              <w:rPr>
                <w:rFonts w:asciiTheme="minorEastAsia" w:hAnsiTheme="minorEastAsia" w:eastAsiaTheme="minorEastAsia"/>
                <w:szCs w:val="21"/>
              </w:rPr>
              <w:t xml:space="preserve">标配6个</w:t>
            </w:r>
            <w:r>
              <w:rPr>
                <w:rFonts w:asciiTheme="minorEastAsia" w:hAnsiTheme="minorEastAsia" w:eastAsiaTheme="minorEastAsia"/>
                <w:szCs w:val="21"/>
              </w:rPr>
              <w:t xml:space="preserve">搁架，数量可根据用户需求增加，</w:t>
            </w:r>
            <w:r>
              <w:rPr>
                <w:rFonts w:asciiTheme="minorEastAsia" w:hAnsiTheme="minorEastAsia" w:eastAsiaTheme="minorEastAsia"/>
                <w:szCs w:val="21"/>
              </w:rPr>
              <w:t xml:space="preserve">标配价目</w:t>
            </w:r>
            <w:r>
              <w:rPr>
                <w:rFonts w:asciiTheme="minorEastAsia" w:hAnsiTheme="minorEastAsia" w:eastAsiaTheme="minorEastAsia"/>
                <w:szCs w:val="21"/>
              </w:rPr>
              <w:t xml:space="preserve">条；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13、低噪音，噪音低于4</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分贝；</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14、冷凝水汇集后自动蒸发，免除人工处理冷凝水的烦恼；</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15、满足产品断电后继续显示箱内的实时温度，持续时间至少24小时；</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-85度低温冰箱</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1、内部容积≥4</w:t>
            </w:r>
            <w:r>
              <w:rPr>
                <w:rFonts w:hint="eastAsia" w:asciiTheme="minorEastAsia" w:hAnsiTheme="minorEastAsia" w:eastAsiaTheme="minorEastAsia"/>
                <w:szCs w:val="21"/>
              </w:rPr>
              <w:t xml:space="preserve">00</w:t>
            </w:r>
            <w:r>
              <w:rPr>
                <w:rFonts w:asciiTheme="minorEastAsia" w:hAnsiTheme="minorEastAsia" w:eastAsiaTheme="minorEastAsia"/>
                <w:szCs w:val="21"/>
              </w:rPr>
              <w:t xml:space="preserve">升，2英寸</w:t>
            </w:r>
            <w:r>
              <w:rPr>
                <w:rFonts w:asciiTheme="minorEastAsia" w:hAnsiTheme="minorEastAsia" w:eastAsiaTheme="minorEastAsia"/>
                <w:szCs w:val="21"/>
              </w:rPr>
              <w:t xml:space="preserve">冻存盒的</w:t>
            </w:r>
            <w:r>
              <w:rPr>
                <w:rFonts w:asciiTheme="minorEastAsia" w:hAnsiTheme="minorEastAsia" w:eastAsiaTheme="minorEastAsia"/>
                <w:szCs w:val="21"/>
              </w:rPr>
              <w:t xml:space="preserve">存放数量≥300个；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2、外部尺寸不大于（</w:t>
            </w:r>
            <w:r>
              <w:rPr>
                <w:rFonts w:asciiTheme="minorEastAsia" w:hAnsiTheme="minorEastAsia" w:eastAsiaTheme="minorEastAsia"/>
                <w:szCs w:val="21"/>
              </w:rPr>
              <w:t xml:space="preserve">HxDxW</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2000</w:t>
            </w:r>
            <w:r>
              <w:rPr>
                <w:rFonts w:asciiTheme="minorEastAsia" w:hAnsiTheme="minorEastAsia" w:eastAsiaTheme="minorEastAsia"/>
                <w:szCs w:val="21"/>
              </w:rPr>
              <w:t xml:space="preserve">x</w:t>
            </w:r>
            <w:r>
              <w:rPr>
                <w:rFonts w:hint="eastAsia" w:asciiTheme="minorEastAsia" w:hAnsiTheme="minorEastAsia" w:eastAsiaTheme="minorEastAsia"/>
                <w:szCs w:val="21"/>
              </w:rPr>
              <w:t xml:space="preserve">1000</w:t>
            </w:r>
            <w:r>
              <w:rPr>
                <w:rFonts w:asciiTheme="minorEastAsia" w:hAnsiTheme="minorEastAsia" w:eastAsiaTheme="minorEastAsia"/>
                <w:szCs w:val="21"/>
              </w:rPr>
              <w:t xml:space="preserve">x</w:t>
            </w:r>
            <w:r>
              <w:rPr>
                <w:rFonts w:hint="eastAsia" w:asciiTheme="minorEastAsia" w:hAnsiTheme="minorEastAsia" w:eastAsiaTheme="minorEastAsia"/>
                <w:szCs w:val="21"/>
              </w:rPr>
              <w:t xml:space="preserve">700</w:t>
            </w:r>
            <w:r>
              <w:rPr>
                <w:rFonts w:asciiTheme="minorEastAsia" w:hAnsiTheme="minorEastAsia" w:eastAsiaTheme="minorEastAsia"/>
                <w:szCs w:val="21"/>
              </w:rPr>
              <w:t xml:space="preserve">(mm)，单位样品量储存占地最小化；</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3、工作温度范围:-50℃～-86℃，微电脑控制，工作温度设定点可调节；</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4、制冷剂为完全无氟碳氢制冷剂乙烷（R170）和丙烷 (R290)，节能环保；</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5、整机内置9个温度探头，全面监控超低温冰箱</w:t>
            </w:r>
            <w:r>
              <w:rPr>
                <w:rFonts w:asciiTheme="minorEastAsia" w:hAnsiTheme="minorEastAsia" w:eastAsiaTheme="minorEastAsia"/>
                <w:szCs w:val="21"/>
              </w:rPr>
              <w:t xml:space="preserve">腔</w:t>
            </w:r>
            <w:r>
              <w:rPr>
                <w:rFonts w:asciiTheme="minorEastAsia" w:hAnsiTheme="minorEastAsia" w:eastAsiaTheme="minorEastAsia"/>
                <w:szCs w:val="21"/>
              </w:rPr>
              <w:t xml:space="preserve">体温度、温度数据每分钟记录一次，全部探头温度数据可导出，有助于确保设备正常运行及故障原因的快速判断；</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6、制冷系统: 2台工业级高效压缩机层叠制冷；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7、四点七层电加热式密封条，有效防止门封条及周边结霜，确保最佳密封保温效果；加热器嵌入门内，确保热量不会进入样品存储区域；</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8、用户界面：</w:t>
            </w:r>
            <w:r>
              <w:rPr>
                <w:rFonts w:asciiTheme="minorEastAsia" w:hAnsiTheme="minorEastAsia" w:eastAsiaTheme="minorEastAsia"/>
                <w:szCs w:val="21"/>
              </w:rPr>
              <w:t xml:space="preserve">≥</w:t>
            </w:r>
            <w:r>
              <w:rPr>
                <w:rFonts w:asciiTheme="minorEastAsia" w:hAnsiTheme="minorEastAsia" w:eastAsiaTheme="minorEastAsia"/>
                <w:szCs w:val="21"/>
              </w:rPr>
              <w:t xml:space="preserve">5.6英寸电容式触摸按键屏，位于外门中上方，高度：1.4至1.5米，方便查看和设置参数,便于操作和观察。清晰的数字温度显示, 面板上的图标直观显示冰箱运行健康状态、以及超温、门半开或电源故障等警报状态；</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9、具有三位数密码保护，安全管理温度设置和报警设置，防止无关人员随意篡改；</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10、具有良好的保温性能：采用</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2cm厚真空绝热板；</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11、室温20℃断电时，空载的情况下从-80℃升温到-50℃的时间不低于2</w:t>
            </w:r>
            <w:r>
              <w:rPr>
                <w:rFonts w:hint="eastAsia" w:asciiTheme="minorEastAsia" w:hAnsiTheme="minorEastAsia" w:eastAsiaTheme="minorEastAsia"/>
                <w:szCs w:val="21"/>
              </w:rPr>
              <w:t xml:space="preserve">40</w:t>
            </w:r>
            <w:r>
              <w:rPr>
                <w:rFonts w:asciiTheme="minorEastAsia" w:hAnsiTheme="minorEastAsia" w:eastAsiaTheme="minorEastAsia"/>
                <w:szCs w:val="21"/>
              </w:rPr>
              <w:t xml:space="preserve">分钟；</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12、</w:t>
            </w:r>
            <w:r>
              <w:rPr>
                <w:rFonts w:asciiTheme="minorEastAsia" w:hAnsiTheme="minorEastAsia" w:eastAsiaTheme="minorEastAsia"/>
                <w:szCs w:val="21"/>
              </w:rPr>
              <w:t xml:space="preserve">标配</w:t>
            </w:r>
            <w:r>
              <w:rPr>
                <w:rFonts w:hint="eastAsia" w:asciiTheme="minorEastAsia" w:hAnsiTheme="minorEastAsia" w:eastAsiaTheme="minorEastAsia"/>
                <w:szCs w:val="21"/>
              </w:rPr>
              <w:t xml:space="preserve">二</w:t>
            </w:r>
            <w:r>
              <w:rPr>
                <w:rFonts w:hint="eastAsia" w:asciiTheme="minorEastAsia" w:hAnsiTheme="minorEastAsia" w:eastAsiaTheme="minorEastAsia"/>
                <w:szCs w:val="21"/>
              </w:rPr>
              <w:t xml:space="preserve">或</w:t>
            </w:r>
            <w:r>
              <w:rPr>
                <w:rFonts w:asciiTheme="minorEastAsia" w:hAnsiTheme="minorEastAsia" w:eastAsiaTheme="minorEastAsia"/>
                <w:szCs w:val="21"/>
              </w:rPr>
              <w:t xml:space="preserve">四扇聚苯乙烯泡沫绝热内门，减少冷气丢失；嵌入式磁铁门闩，防止传统插销式门把的结冰情况；</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液氮罐</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1、箱体结构：双层铝制真空设计结合高级真空绝热材料。</w:t>
            </w:r>
            <w:r/>
          </w:p>
          <w:p>
            <w:pPr>
              <w:rPr>
                <w:rFonts w:hint="eastAsia" w:asciiTheme="minorEastAsia" w:hAnsiTheme="minorEastAsia" w:eastAsiaTheme="minorEastAsia"/>
                <w:szCs w:val="21"/>
              </w:rPr>
            </w:pPr>
            <w:r>
              <w:rPr>
                <w:rFonts w:cs="Segoe UI Symbol" w:asciiTheme="minorEastAsia" w:hAnsiTheme="minorEastAsia" w:eastAsiaTheme="minorEastAsia"/>
                <w:szCs w:val="21"/>
              </w:rPr>
              <w:t xml:space="preserve">★</w:t>
            </w:r>
            <w:r>
              <w:rPr>
                <w:rFonts w:asciiTheme="minorEastAsia" w:hAnsiTheme="minorEastAsia" w:eastAsiaTheme="minorEastAsia"/>
                <w:szCs w:val="21"/>
              </w:rPr>
              <w:t xml:space="preserve">2、液氮容量≥1</w:t>
            </w:r>
            <w:r>
              <w:rPr>
                <w:rFonts w:hint="eastAsia" w:asciiTheme="minorEastAsia" w:hAnsiTheme="minorEastAsia" w:eastAsiaTheme="minorEastAsia"/>
                <w:szCs w:val="21"/>
              </w:rPr>
              <w:t xml:space="preserve">00</w:t>
            </w:r>
            <w:r>
              <w:rPr>
                <w:rFonts w:asciiTheme="minorEastAsia" w:hAnsiTheme="minorEastAsia" w:eastAsiaTheme="minorEastAsia"/>
                <w:szCs w:val="21"/>
              </w:rPr>
              <w:t xml:space="preserve">L。</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3、液氮罐罐口直径≤2</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cm。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w:t>
            </w:r>
            <w:r>
              <w:rPr>
                <w:rFonts w:asciiTheme="minorEastAsia" w:hAnsiTheme="minorEastAsia" w:eastAsiaTheme="minorEastAsia"/>
                <w:szCs w:val="21"/>
              </w:rPr>
              <w:t xml:space="preserve">标配冻存架</w:t>
            </w:r>
            <w:r>
              <w:rPr>
                <w:rFonts w:asciiTheme="minorEastAsia" w:hAnsiTheme="minorEastAsia" w:eastAsiaTheme="minorEastAsia"/>
                <w:szCs w:val="21"/>
              </w:rPr>
              <w:t xml:space="preserve">≥4个，可容纳1.2</w:t>
            </w:r>
            <w:r>
              <w:rPr>
                <w:rFonts w:hint="eastAsia" w:asciiTheme="minorEastAsia" w:hAnsiTheme="minorEastAsia" w:eastAsiaTheme="minorEastAsia"/>
                <w:szCs w:val="21"/>
              </w:rPr>
              <w:t xml:space="preserve">或</w:t>
            </w:r>
            <w:r>
              <w:rPr>
                <w:rFonts w:asciiTheme="minorEastAsia" w:hAnsiTheme="minorEastAsia" w:eastAsiaTheme="minorEastAsia"/>
                <w:szCs w:val="21"/>
              </w:rPr>
              <w:t xml:space="preserve">2ml冻存管≥4000个。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5、冻</w:t>
            </w:r>
            <w:r>
              <w:rPr>
                <w:rFonts w:asciiTheme="minorEastAsia" w:hAnsiTheme="minorEastAsia" w:eastAsiaTheme="minorEastAsia"/>
                <w:szCs w:val="21"/>
              </w:rPr>
              <w:t xml:space="preserve">存架采用</w:t>
            </w:r>
            <w:r>
              <w:rPr>
                <w:rFonts w:asciiTheme="minorEastAsia" w:hAnsiTheme="minorEastAsia" w:eastAsiaTheme="minorEastAsia"/>
                <w:szCs w:val="21"/>
              </w:rPr>
              <w:t xml:space="preserve">悬挂</w:t>
            </w:r>
            <w:r>
              <w:rPr>
                <w:rFonts w:asciiTheme="minorEastAsia" w:hAnsiTheme="minorEastAsia" w:eastAsiaTheme="minorEastAsia"/>
                <w:szCs w:val="21"/>
              </w:rPr>
              <w:t xml:space="preserve">及隔箱设计</w:t>
            </w:r>
            <w:r>
              <w:rPr>
                <w:rFonts w:asciiTheme="minorEastAsia" w:hAnsiTheme="minorEastAsia" w:eastAsiaTheme="minorEastAsia"/>
                <w:szCs w:val="21"/>
              </w:rPr>
              <w:t xml:space="preserve">，编有索引的架子和盒子</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可以减少存取样品的时间</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适合手工和计算机库存管理</w:t>
            </w:r>
            <w:r/>
          </w:p>
          <w:p>
            <w:pPr>
              <w:rPr>
                <w:rFonts w:hint="eastAsia" w:asciiTheme="minorEastAsia" w:hAnsiTheme="minorEastAsia" w:eastAsiaTheme="minorEastAsia"/>
                <w:szCs w:val="21"/>
              </w:rPr>
            </w:pPr>
            <w:r>
              <w:rPr>
                <w:rFonts w:cs="Segoe UI Symbol" w:asciiTheme="minorEastAsia" w:hAnsiTheme="minorEastAsia" w:eastAsiaTheme="minorEastAsia"/>
                <w:szCs w:val="21"/>
              </w:rPr>
              <w:t xml:space="preserve">★</w:t>
            </w:r>
            <w:r>
              <w:rPr>
                <w:rFonts w:asciiTheme="minorEastAsia" w:hAnsiTheme="minorEastAsia" w:eastAsiaTheme="minorEastAsia"/>
                <w:szCs w:val="21"/>
              </w:rPr>
              <w:t xml:space="preserve">6、配</w:t>
            </w:r>
            <w:r>
              <w:rPr>
                <w:rFonts w:hint="eastAsia" w:asciiTheme="minorEastAsia" w:hAnsiTheme="minorEastAsia" w:eastAsiaTheme="minorEastAsia"/>
                <w:szCs w:val="21"/>
              </w:rPr>
              <w:t xml:space="preserve">备</w:t>
            </w:r>
            <w:r>
              <w:rPr>
                <w:rFonts w:asciiTheme="minorEastAsia" w:hAnsiTheme="minorEastAsia" w:eastAsiaTheme="minorEastAsia"/>
                <w:szCs w:val="21"/>
              </w:rPr>
              <w:t xml:space="preserve">带有超声波液位检测的盖塞，采用超声波技术无需与液氮直接接触，避免检出带来的污染风险和液氮消耗，可进行液位监测和报警，提高操作的安全性。超声液位报警器的LED液位指示灯面板可持续显示液氮量，精确到1/8增量；液位过低时，报警器连续鸣叫。</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7、可</w:t>
            </w:r>
            <w:r>
              <w:rPr>
                <w:rFonts w:asciiTheme="minorEastAsia" w:hAnsiTheme="minorEastAsia" w:eastAsiaTheme="minorEastAsia"/>
                <w:szCs w:val="21"/>
              </w:rPr>
              <w:t xml:space="preserve">选配低液</w:t>
            </w:r>
            <w:r>
              <w:rPr>
                <w:rFonts w:asciiTheme="minorEastAsia" w:hAnsiTheme="minorEastAsia" w:eastAsiaTheme="minorEastAsia"/>
                <w:szCs w:val="21"/>
              </w:rPr>
              <w:t xml:space="preserve">位报警器，</w:t>
            </w:r>
            <w:r>
              <w:rPr>
                <w:rFonts w:asciiTheme="minorEastAsia" w:hAnsiTheme="minorEastAsia" w:eastAsiaTheme="minorEastAsia"/>
                <w:szCs w:val="21"/>
              </w:rPr>
              <w:t xml:space="preserve">当液位</w:t>
            </w:r>
            <w:r>
              <w:rPr>
                <w:rFonts w:asciiTheme="minorEastAsia" w:hAnsiTheme="minorEastAsia" w:eastAsiaTheme="minorEastAsia"/>
                <w:szCs w:val="21"/>
              </w:rPr>
              <w:t xml:space="preserve">低于设定高度时，发出声光报警，该报警器具有远程报警接口，可连远程报警设备</w:t>
            </w:r>
            <w:r/>
          </w:p>
          <w:p>
            <w:pPr>
              <w:rPr>
                <w:rFonts w:hint="eastAsia" w:asciiTheme="minorEastAsia" w:hAnsiTheme="minorEastAsia" w:eastAsiaTheme="minorEastAsia"/>
                <w:szCs w:val="21"/>
              </w:rPr>
            </w:pPr>
            <w:r>
              <w:rPr>
                <w:rFonts w:cs="Segoe UI Symbol" w:asciiTheme="minorEastAsia" w:hAnsiTheme="minorEastAsia" w:eastAsiaTheme="minorEastAsia"/>
                <w:szCs w:val="21"/>
              </w:rPr>
              <w:t xml:space="preserve">★</w:t>
            </w:r>
            <w:r>
              <w:rPr>
                <w:rFonts w:asciiTheme="minorEastAsia" w:hAnsiTheme="minorEastAsia" w:eastAsiaTheme="minorEastAsia"/>
                <w:szCs w:val="21"/>
              </w:rPr>
              <w:t xml:space="preserve">8、罐体尺寸: 外部直径≤</w:t>
            </w:r>
            <w:r>
              <w:rPr>
                <w:rFonts w:hint="eastAsia" w:asciiTheme="minorEastAsia" w:hAnsiTheme="minorEastAsia" w:eastAsiaTheme="minorEastAsia"/>
                <w:szCs w:val="21"/>
              </w:rPr>
              <w:t xml:space="preserve">60</w:t>
            </w:r>
            <w:r>
              <w:rPr>
                <w:rFonts w:asciiTheme="minorEastAsia" w:hAnsiTheme="minorEastAsia" w:eastAsiaTheme="minorEastAsia"/>
                <w:szCs w:val="21"/>
              </w:rPr>
              <w:t xml:space="preserve">cm,外部高度≤ </w:t>
            </w:r>
            <w:r>
              <w:rPr>
                <w:rFonts w:hint="eastAsia" w:asciiTheme="minorEastAsia" w:hAnsiTheme="minorEastAsia" w:eastAsiaTheme="minorEastAsia"/>
                <w:szCs w:val="21"/>
              </w:rPr>
              <w:t xml:space="preserve">100</w:t>
            </w:r>
            <w:r>
              <w:rPr>
                <w:rFonts w:asciiTheme="minorEastAsia" w:hAnsiTheme="minorEastAsia" w:eastAsiaTheme="minorEastAsia"/>
                <w:szCs w:val="21"/>
              </w:rPr>
              <w:t xml:space="preserve">cm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9、空罐重量≤</w:t>
            </w:r>
            <w:r>
              <w:rPr>
                <w:rFonts w:hint="eastAsia" w:asciiTheme="minorEastAsia" w:hAnsiTheme="minorEastAsia" w:eastAsiaTheme="minorEastAsia"/>
                <w:szCs w:val="21"/>
              </w:rPr>
              <w:t xml:space="preserve">40</w:t>
            </w:r>
            <w:r>
              <w:rPr>
                <w:rFonts w:asciiTheme="minorEastAsia" w:hAnsiTheme="minorEastAsia" w:eastAsiaTheme="minorEastAsia"/>
                <w:szCs w:val="21"/>
              </w:rPr>
              <w:t xml:space="preserve">kg，满载重量≤1</w:t>
            </w:r>
            <w:r>
              <w:rPr>
                <w:rFonts w:hint="eastAsia" w:asciiTheme="minorEastAsia" w:hAnsiTheme="minorEastAsia" w:eastAsiaTheme="minorEastAsia"/>
                <w:szCs w:val="21"/>
              </w:rPr>
              <w:t xml:space="preserve">40</w:t>
            </w:r>
            <w:r>
              <w:rPr>
                <w:rFonts w:asciiTheme="minorEastAsia" w:hAnsiTheme="minorEastAsia" w:eastAsiaTheme="minorEastAsia"/>
                <w:szCs w:val="21"/>
              </w:rPr>
              <w:t xml:space="preserve">kg。</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10、具有安全锁扣设计，充分保证样品安全。</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CO</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培养箱</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1、单套产品由箱体、温度控制系统、气体控制系统、湿度控制系统、污染物控制系统、控制面板和其他配件组成。</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2、箱体材质：采用镀锌钢板。</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3、腔室材质：腔室内壁采用电抛光不锈钢材质，</w:t>
            </w:r>
            <w:r>
              <w:rPr>
                <w:rFonts w:asciiTheme="minorEastAsia" w:hAnsiTheme="minorEastAsia" w:eastAsiaTheme="minorEastAsia"/>
                <w:szCs w:val="21"/>
              </w:rPr>
              <w:t xml:space="preserve">一</w:t>
            </w:r>
            <w:r>
              <w:rPr>
                <w:rFonts w:asciiTheme="minorEastAsia" w:hAnsiTheme="minorEastAsia" w:eastAsiaTheme="minorEastAsia"/>
                <w:szCs w:val="21"/>
              </w:rPr>
              <w:t xml:space="preserve">体式设计，内壁光滑，无冲压到内壁上的支撑横条或支点。隔板支架易拆卸。</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4、腔室体积≥150L，单台设备外尺寸高度≤900mm，便于设备叠放上层培养物拿取。培养箱自带叠放元件，无需额外配件；培养箱控制面板可设置叠放模式，以补偿两个设备间的热传递。</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w:t>
            </w:r>
            <w:r>
              <w:rPr>
                <w:rFonts w:asciiTheme="minorEastAsia" w:hAnsiTheme="minorEastAsia" w:eastAsiaTheme="minorEastAsia"/>
                <w:szCs w:val="21"/>
              </w:rPr>
              <w:t xml:space="preserve">标配隔板</w:t>
            </w:r>
            <w:r>
              <w:rPr>
                <w:rFonts w:asciiTheme="minorEastAsia" w:hAnsiTheme="minorEastAsia" w:eastAsiaTheme="minorEastAsia"/>
                <w:szCs w:val="21"/>
              </w:rPr>
              <w:t xml:space="preserve">数：≥3块，隔板带孔可调节高度。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6、每块隔板最大承重不低于10kg，总承重≥30kg。</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7、温度控制模式：直接加热气套式模式。</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8、温度控制范围：环境温度+3至55℃；温度控制精度：≤±0.1℃。</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控制范围：1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20%；CO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控制精度：≤±0.1%。</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10、</w:t>
            </w:r>
            <w:r>
              <w:rPr>
                <w:rFonts w:hint="eastAsia" w:asciiTheme="minorEastAsia" w:hAnsiTheme="minorEastAsia" w:eastAsiaTheme="minorEastAsia"/>
                <w:szCs w:val="21"/>
              </w:rPr>
              <w:t xml:space="preserve">配备</w:t>
            </w:r>
            <w:r>
              <w:rPr>
                <w:rFonts w:asciiTheme="minorEastAsia" w:hAnsiTheme="minorEastAsia" w:eastAsiaTheme="minorEastAsia"/>
                <w:szCs w:val="21"/>
              </w:rPr>
              <w:t xml:space="preserve">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浓度与温度检测探头一体集成式系统，探头直接置于箱体内。</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11、湿度回复：采用无水盘底部水库回复设计，储水箱容积≥3L。</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12、</w:t>
            </w:r>
            <w:r>
              <w:rPr>
                <w:rFonts w:asciiTheme="minorEastAsia" w:hAnsiTheme="minorEastAsia" w:eastAsiaTheme="minorEastAsia"/>
                <w:szCs w:val="21"/>
              </w:rPr>
              <w:t xml:space="preserve">污染物</w:t>
            </w:r>
            <w:r>
              <w:rPr>
                <w:rFonts w:asciiTheme="minorEastAsia" w:hAnsiTheme="minorEastAsia" w:eastAsiaTheme="minorEastAsia"/>
                <w:szCs w:val="21"/>
              </w:rPr>
              <w:t xml:space="preserve">控制系统：采用湿热灭菌，灭菌温度≥90℃，可保证全部配件在位灭菌，灭菌总时长含升温，降温程序＞24h。</w:t>
            </w:r>
            <w:r>
              <w:rPr>
                <w:rFonts w:asciiTheme="minorEastAsia" w:hAnsiTheme="minorEastAsia" w:eastAsiaTheme="minorEastAsia"/>
                <w:szCs w:val="21"/>
              </w:rPr>
              <w:t xml:space="preserve">可完全消除箱内的污染物；可至少消除枯草芽孢杆菌变种、孢子黑曲霉，酿酒酵母菌；该功能只需按键一次即可完成培养前箱体的准备。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13、控制面板采用物理按键操作，LED数字屏幕显示，具备显示培养箱运行状态的功能，包括但不限于温度、CO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浓度、灭菌剩余时间等信息。</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14、具备程序自检和一键自启动功能，可实现CO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检测系统自动校准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非手动方式提供CO</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检测系统的自动校准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，确保系统处于最佳状态。</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15、配备与产品相匹配的独立细胞培养室，数量≥1个，培养室采用聚碳酸酯材质，由腔室、不锈钢工作盘和膜过滤器组成，腔室和工作盘可手动灭菌或高温高压灭菌；腔室应兼容包含T-75细胞培养</w:t>
            </w:r>
            <w:r>
              <w:rPr>
                <w:rFonts w:asciiTheme="minorEastAsia" w:hAnsiTheme="minorEastAsia" w:eastAsiaTheme="minorEastAsia"/>
                <w:szCs w:val="21"/>
              </w:rPr>
              <w:t xml:space="preserve">瓶数量</w:t>
            </w:r>
            <w:r>
              <w:rPr>
                <w:rFonts w:asciiTheme="minorEastAsia" w:hAnsiTheme="minorEastAsia" w:eastAsiaTheme="minorEastAsia"/>
                <w:szCs w:val="21"/>
              </w:rPr>
              <w:t xml:space="preserve">≥9个。</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16、配备内腔顶部风扇助力循环系统，确保空间环境的均</w:t>
            </w:r>
            <w:r>
              <w:rPr>
                <w:rFonts w:asciiTheme="minorEastAsia" w:hAnsiTheme="minorEastAsia" w:eastAsiaTheme="minorEastAsia"/>
                <w:szCs w:val="21"/>
              </w:rPr>
              <w:t xml:space="preserve">一</w:t>
            </w:r>
            <w:r>
              <w:rPr>
                <w:rFonts w:asciiTheme="minorEastAsia" w:hAnsiTheme="minorEastAsia" w:eastAsiaTheme="minorEastAsia"/>
                <w:szCs w:val="21"/>
              </w:rPr>
              <w:t xml:space="preserve">性。</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17、工作噪音＜50dB。</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A2生物安全柜</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1、适合单人使用。柜体内部工作区尺寸范围：宽度≥1200mm，深度≥6</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0mm，高度≥7</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0mm。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2、配有彩色触摸屏。可显示HEPA已使用时间、HEPA剩余使用时间、UV灯工作时间及总工作时间等。触摸屏显示的报警信息可直接显示文字信息，非仅显示代码标号。</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3、配有高效过滤器HEPA。过滤效率：过滤器最易穿透颗粒（MPPS）过滤效率高于 99.99%。0.3微米颗粒的截留效率高于99.99%。</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4、前窗最大开启高度≥5</w:t>
            </w:r>
            <w:r>
              <w:rPr>
                <w:rFonts w:hint="eastAsia" w:asciiTheme="minorEastAsia" w:hAnsiTheme="minorEastAsia" w:eastAsiaTheme="minorEastAsia"/>
                <w:szCs w:val="21"/>
              </w:rPr>
              <w:t xml:space="preserve">00</w:t>
            </w:r>
            <w:r>
              <w:rPr>
                <w:rFonts w:asciiTheme="minorEastAsia" w:hAnsiTheme="minorEastAsia" w:eastAsiaTheme="minorEastAsia"/>
                <w:szCs w:val="21"/>
              </w:rPr>
              <w:t xml:space="preserve"> 毫米。</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5、噪音≤6</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dB</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6、双风机控制系统，独立的进气与排气风机自动控制，在过滤器阻塞或线路电压波动时持续保护用户安全。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7、至少两个压力传感器用于检测排气和下降气流强制通风时的压力变化。当进气/排气或下降气流速度变化量达到20%时，将发出声光报警。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8、安全柜开机正常运行状态下，将前窗玻璃下拉至完全关闭状态，安全柜自动启动低速安全节能模式（待机模式），下降风速自动变为30%或以下，且保持柜体洁净环境。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9、设备配置254nm紫外灯。消毒程序可编程，步进为15分钟。同时，可实现紫外灯消毒预约功能，用户可设定特定时间自动开启紫外灯。</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10、设备采用LED灯照明。照明和杀菌系统应有互锁功能。</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11、前窗倾角：10°倾角。</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12、设备应具有特别的设置，当前窗玻璃到达工作高度时，操作者会被给出一个触感的反馈。</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13、前窗清洗：无需拆卸任何部件即可将前窗玻璃可下拉到台面下方指定位置，操作者可站在安全柜外的无污染区，便于清洁安全柜玻璃窗内侧和更换灯管。</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14、柜体内壁具有防眩目效果，增加用户舒适度。内部工作台面为一块耐用无腐蚀的304不锈钢。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15、柜体侧壁采用双层负压设计，以提供更大的保护。</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16、工作台下方的</w:t>
            </w:r>
            <w:r>
              <w:rPr>
                <w:rFonts w:asciiTheme="minorEastAsia" w:hAnsiTheme="minorEastAsia" w:eastAsiaTheme="minorEastAsia"/>
                <w:szCs w:val="21"/>
              </w:rPr>
              <w:t xml:space="preserve">集液槽</w:t>
            </w:r>
            <w:r>
              <w:rPr>
                <w:rFonts w:asciiTheme="minorEastAsia" w:hAnsiTheme="minorEastAsia" w:eastAsiaTheme="minorEastAsia"/>
                <w:szCs w:val="21"/>
              </w:rPr>
              <w:t xml:space="preserve">应采用不锈钢制成，并带有排污阀。不应有支撑工作托盘重量的水平金属条，以便于清洁。</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17、设备配置两个可拆卸式搁手架。</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18、生物安全柜的能耗，运行时≤200W，节能模式时≤70 W。</w:t>
            </w:r>
            <w:r/>
          </w:p>
          <w:p>
            <w:pPr>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19</w:t>
            </w:r>
            <w:r>
              <w:rPr>
                <w:rFonts w:asciiTheme="minorEastAsia" w:hAnsiTheme="minorEastAsia" w:eastAsiaTheme="minorEastAsia"/>
                <w:szCs w:val="21"/>
              </w:rPr>
              <w:t xml:space="preserve">、具有数据记录传输功能，支持OP CUA和Modbus TCP协议，可与SCADA等中央系统连接，实时监控和记录生物安全柜的运行状态，包括但不限于：下降气流风速、进气气流风速、设备状态、报警信息、照明状态、消毒状态、设备序列号等。可存储历史数据≥90天，软件可至少同时连接≥4台生物安全柜。</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过氧化氢气化消毒器</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1、性能：设备采用30%-35%过氧化氢蒸汽（非雾化）对实验动物房进行消毒处理，灭菌效果达到6-log芽孢杀灭率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2、材质和尺寸：主机外壳为塑料或304及以上不锈钢材料；高密度防腐涂层，有效防腐蚀和外力损坏。外尺寸≤</w:t>
            </w:r>
            <w:r>
              <w:rPr>
                <w:rFonts w:asciiTheme="minorEastAsia" w:hAnsiTheme="minorEastAsia" w:eastAsiaTheme="minorEastAsia"/>
                <w:szCs w:val="21"/>
              </w:rPr>
              <w:t xml:space="preserve">800×800×</w:t>
            </w:r>
            <w:r>
              <w:rPr>
                <w:rFonts w:asciiTheme="minorEastAsia" w:hAnsiTheme="minorEastAsia" w:eastAsiaTheme="minorEastAsia"/>
                <w:szCs w:val="21"/>
              </w:rPr>
              <w:t xml:space="preserve">1500mm（长*宽*高）。</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3、消毒时间：30-60min；分解时间：60-120min；</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4、可消毒空间 ≥400m³；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5、试剂流量：过氧化氢液体注射率≥12g/min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6、具备对环境的温度、湿度和过氧化氢浓度实现实时监测的功能。</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7、初始运行环境条件：15～35℃，相对湿度在60～80%。</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8、机器具备报警装置，运行异常时可以报警。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9、设备配置内外扩散风机，确保过氧化氢气体有效的扩散，对外实现全面有效消毒，内部能有效避免交叉污染；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10、屏幕：主机配置触摸屏，可以设置时间、网络、操作语言等。</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11、控制方式：无线操作，并可提供网络云监控功能。</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12、过氧化氢存储量：≥4L；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13、安全性：灭菌完成后，自动分解剩余的过氧化氢，直至浓度&lt;1PPM。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14、记录：设备自带热敏打印机或其他运行记录存储输出功能。</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15、设备具有房间信息记录功能，用户正常使用时只需输入相应房间编号，便可得到最近一次的消毒参数。</w:t>
            </w:r>
            <w:r/>
          </w:p>
          <w:p>
            <w:pPr>
              <w:rPr>
                <w:rFonts w:hint="eastAsia" w:cs="宋体"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、手持式过氧化氢浓度检测仪：</w:t>
            </w:r>
            <w:r>
              <w:rPr>
                <w:rFonts w:asciiTheme="minorEastAsia" w:hAnsiTheme="minorEastAsia" w:eastAsiaTheme="minorEastAsia"/>
                <w:szCs w:val="21"/>
              </w:rPr>
              <w:t xml:space="preserve">标配手持式</w:t>
            </w:r>
            <w:r>
              <w:rPr>
                <w:rFonts w:asciiTheme="minorEastAsia" w:hAnsiTheme="minorEastAsia" w:eastAsiaTheme="minorEastAsia"/>
                <w:szCs w:val="21"/>
              </w:rPr>
              <w:t xml:space="preserve">高精度过氧化氢浓度检测仪，用于检测过氧化氢泄露以及残余量；</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小动物代谢监测系统</w:t>
            </w:r>
            <w:r/>
          </w:p>
        </w:tc>
        <w:tc>
          <w:tcPr>
            <w:tcW w:w="11765"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1、设备可以全自动长时间连续监测</w:t>
            </w:r>
            <w:r>
              <w:rPr>
                <w:rFonts w:asciiTheme="minorEastAsia" w:hAnsiTheme="minorEastAsia" w:eastAsiaTheme="minorEastAsia"/>
                <w:szCs w:val="21"/>
              </w:rPr>
              <w:t xml:space="preserve">一</w:t>
            </w:r>
            <w:r>
              <w:rPr>
                <w:rFonts w:asciiTheme="minorEastAsia" w:hAnsiTheme="minorEastAsia" w:eastAsiaTheme="minorEastAsia"/>
                <w:szCs w:val="21"/>
              </w:rPr>
              <w:t xml:space="preserve">批次不少于16只小鼠的能量代谢参数，配置监测功能模块至少包含：呼吸</w:t>
            </w:r>
            <w:r>
              <w:rPr>
                <w:rFonts w:asciiTheme="minorEastAsia" w:hAnsiTheme="minorEastAsia" w:eastAsiaTheme="minorEastAsia"/>
                <w:szCs w:val="21"/>
              </w:rPr>
              <w:t xml:space="preserve">熵</w:t>
            </w:r>
            <w:r>
              <w:rPr>
                <w:rFonts w:asciiTheme="minorEastAsia" w:hAnsiTheme="minorEastAsia" w:eastAsiaTheme="minorEastAsia"/>
                <w:szCs w:val="21"/>
              </w:rPr>
              <w:t xml:space="preserve">监测模块、摄食量监测模块、饮水量监测模块、体重变化量模块、笼内温湿度气压监测模块、自主活动度监测模块、</w:t>
            </w:r>
            <w:r>
              <w:rPr>
                <w:rFonts w:asciiTheme="minorEastAsia" w:hAnsiTheme="minorEastAsia" w:eastAsiaTheme="minorEastAsia"/>
                <w:szCs w:val="21"/>
              </w:rPr>
              <w:t xml:space="preserve">跑轮监测</w:t>
            </w:r>
            <w:r>
              <w:rPr>
                <w:rFonts w:asciiTheme="minorEastAsia" w:hAnsiTheme="minorEastAsia" w:eastAsiaTheme="minorEastAsia"/>
                <w:szCs w:val="21"/>
              </w:rPr>
              <w:t xml:space="preserve">模块、摄取访问控制模块、温控柜模块；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2、不少于16通道呼吸</w:t>
            </w:r>
            <w:r>
              <w:rPr>
                <w:rFonts w:asciiTheme="minorEastAsia" w:hAnsiTheme="minorEastAsia" w:eastAsiaTheme="minorEastAsia"/>
                <w:szCs w:val="21"/>
              </w:rPr>
              <w:t xml:space="preserve">熵</w:t>
            </w:r>
            <w:r>
              <w:rPr>
                <w:rFonts w:asciiTheme="minorEastAsia" w:hAnsiTheme="minorEastAsia" w:eastAsiaTheme="minorEastAsia"/>
                <w:szCs w:val="21"/>
              </w:rPr>
              <w:t xml:space="preserve">监测模块：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2.1可测量呼吸熵、耗氧量、二氧化碳产生量和热量等；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2.2 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测量精度：不低于0.001% ；O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测量分辨率：不低于0.001%；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2.3 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测量精度：不低于0.001% ；CO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测量分辨率：不低于0.001%；</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2.4高速气体监测模块：单笼氧气/二氧化碳数据单次测量耗时≤15秒；</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2.5 气体探头全自动快速校正模块：可全自动高速校准O</w:t>
            </w:r>
            <w:r>
              <w:rPr>
                <w:rFonts w:asciiTheme="minorEastAsia" w:hAnsiTheme="minorEastAsia" w:eastAsiaTheme="minorEastAsia"/>
                <w:szCs w:val="21"/>
                <w:vertAlign w:val="subscript"/>
              </w:rPr>
              <w:t xml:space="preserve">2</w:t>
            </w:r>
            <w:r>
              <w:rPr>
                <w:rFonts w:hint="eastAsia" w:asciiTheme="minorEastAsia" w:hAnsiTheme="minorEastAsia" w:eastAsiaTheme="minorEastAsia"/>
                <w:szCs w:val="21"/>
                <w:vertAlign w:val="subscript"/>
              </w:rPr>
              <w:t xml:space="preserve">、</w:t>
            </w:r>
            <w:r>
              <w:rPr>
                <w:rFonts w:asciiTheme="minorEastAsia" w:hAnsiTheme="minorEastAsia" w:eastAsiaTheme="minorEastAsia"/>
                <w:szCs w:val="21"/>
              </w:rPr>
              <w:t xml:space="preserve">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监测探头，校验气体无需持续接入，确保精确校准；</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2.6 实时动态参比监测模块：通过独立运行的参比笼，监测笼内氧气/二氧化碳含量，提供动态气体监测参比数据；</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2.7 水汽去除：有自动水蒸气去除功能，自动动态调节，无需干燥剂耗材,可避免水蒸气导致的氧气及二氧化碳检测误差；</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2.8 氧气监测传感器和二氧化碳监测传感器采用高灵敏度探头；</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2.9环境监测模块：笼内配置独立的环境监测传感器，可实时测定环境温度、湿度和气压等指标；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2.10 温度监测探头精度：不低于0.001℃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湿度监测探头精度：不低于0.001%RH</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气压监测探头精度：不低于0.001hpa；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2.11系统可长时间连续监测，最长测量时间：≥7天；</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2.12笼内气体定向循环：笼内气流单方向定向流动，减少代谢笼内的气体残留。</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3、不少于16通道进食监测模块/饮水监测模块/体重监测模块：</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3.1 进食监测：可实时监测食物消耗量，测量精度不低于0.001g ；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3.2 饮水监测：可实时监测饮水消耗量，测量精度不低于0.001g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3.3</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体重监测：可实时监测体重变化量，测量精度不低于0.001g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3.4 质量监测传感器采样频率≥1次/秒，监测重量变化。所有传感器含即时暂停模式，此模式可在实验过程中添加食物和饮水，不影响监测数据采集；</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3.5饮食饮水供应方式为顶部喂食；需要有防碎屑装置，可减少进食过程中碎屑损失和外漏引起的误差。</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4、不少于16通道自发活动监测模块：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4.1活动监测维度： XYZ轴面监测；</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4.2 相邻红外探头间距：≤10mm；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4.3 监测自发活动参数至少包括：水平活动度，小鼠位置偏爱信息，昼夜节律监测，监测及精细分析动物清醒和睡眠周期及状态。并且用户可自由选定监测区域范围；</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4.4位移分辨率≤5mm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4.5最长活动监测时间：</w:t>
            </w:r>
            <w:r>
              <w:rPr>
                <w:rFonts w:asciiTheme="minorEastAsia" w:hAnsiTheme="minorEastAsia" w:eastAsiaTheme="minorEastAsia"/>
                <w:szCs w:val="21"/>
              </w:rPr>
              <w:t xml:space="preserve">≥</w:t>
            </w:r>
            <w:r>
              <w:rPr>
                <w:rFonts w:asciiTheme="minorEastAsia" w:hAnsiTheme="minorEastAsia" w:eastAsiaTheme="minorEastAsia"/>
                <w:szCs w:val="21"/>
              </w:rPr>
              <w:t xml:space="preserve">7天。</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5、小动物温控柜模块1套: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5.1小动物温控柜外部及内部需采用不锈钢材质；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5.2内部支架</w:t>
            </w:r>
            <w:r>
              <w:rPr>
                <w:rFonts w:asciiTheme="minorEastAsia" w:hAnsiTheme="minorEastAsia" w:eastAsiaTheme="minorEastAsia"/>
                <w:szCs w:val="21"/>
              </w:rPr>
              <w:t xml:space="preserve">层标准</w:t>
            </w:r>
            <w:r>
              <w:rPr>
                <w:rFonts w:asciiTheme="minorEastAsia" w:hAnsiTheme="minorEastAsia" w:eastAsiaTheme="minorEastAsia"/>
                <w:szCs w:val="21"/>
              </w:rPr>
              <w:t xml:space="preserve">4层：承重</w:t>
            </w:r>
            <w:r>
              <w:rPr>
                <w:rFonts w:asciiTheme="minorEastAsia" w:hAnsiTheme="minorEastAsia" w:eastAsiaTheme="minorEastAsia"/>
                <w:szCs w:val="21"/>
              </w:rPr>
              <w:t xml:space="preserve">不</w:t>
            </w:r>
            <w:r>
              <w:rPr>
                <w:rFonts w:asciiTheme="minorEastAsia" w:hAnsiTheme="minorEastAsia" w:eastAsiaTheme="minorEastAsia"/>
                <w:szCs w:val="21"/>
              </w:rPr>
              <w:t xml:space="preserve">变型；</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5.3 温度范围：4℃~+35℃；</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5.4 湿度范围：55±10%RH；</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5.5 温度保护：可调；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5.6光照：约2*6000LUX（0~100%）LED红光和白光；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5.7可适配小鼠能量代谢笼，可放置不少于16笼。</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w:t>
            </w:r>
            <w:r>
              <w:rPr>
                <w:rFonts w:asciiTheme="minorEastAsia" w:hAnsiTheme="minorEastAsia" w:eastAsiaTheme="minorEastAsia"/>
                <w:szCs w:val="21"/>
              </w:rPr>
              <w:t xml:space="preserve">跑轮监测</w:t>
            </w:r>
            <w:r>
              <w:rPr>
                <w:rFonts w:asciiTheme="minorEastAsia" w:hAnsiTheme="minorEastAsia" w:eastAsiaTheme="minorEastAsia"/>
                <w:szCs w:val="21"/>
              </w:rPr>
              <w:t xml:space="preserve">模块</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6.1 监测小鼠的自发运动，实时记录实验</w:t>
            </w:r>
            <w:r>
              <w:rPr>
                <w:rFonts w:asciiTheme="minorEastAsia" w:hAnsiTheme="minorEastAsia" w:eastAsiaTheme="minorEastAsia"/>
                <w:szCs w:val="21"/>
              </w:rPr>
              <w:t xml:space="preserve">动物跑栋圈数</w:t>
            </w:r>
            <w:r>
              <w:rPr>
                <w:rFonts w:asciiTheme="minorEastAsia" w:hAnsiTheme="minorEastAsia" w:eastAsiaTheme="minorEastAsia"/>
                <w:szCs w:val="21"/>
              </w:rPr>
              <w:t xml:space="preserve">、速度、角速度、时间、周期等；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6.2 </w:t>
            </w:r>
            <w:r>
              <w:rPr>
                <w:rFonts w:asciiTheme="minorEastAsia" w:hAnsiTheme="minorEastAsia" w:eastAsiaTheme="minorEastAsia"/>
                <w:szCs w:val="21"/>
              </w:rPr>
              <w:t xml:space="preserve">跑轮采用</w:t>
            </w:r>
            <w:r>
              <w:rPr>
                <w:rFonts w:asciiTheme="minorEastAsia" w:hAnsiTheme="minorEastAsia" w:eastAsiaTheme="minorEastAsia"/>
                <w:szCs w:val="21"/>
              </w:rPr>
              <w:t xml:space="preserve">不锈钢材质；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6.3</w:t>
            </w:r>
            <w:r>
              <w:rPr>
                <w:rFonts w:asciiTheme="minorEastAsia" w:hAnsiTheme="minorEastAsia" w:eastAsiaTheme="minorEastAsia"/>
                <w:szCs w:val="21"/>
              </w:rPr>
              <w:t xml:space="preserve">跑轮模块</w:t>
            </w:r>
            <w:r>
              <w:rPr>
                <w:rFonts w:asciiTheme="minorEastAsia" w:hAnsiTheme="minorEastAsia" w:eastAsiaTheme="minorEastAsia"/>
                <w:szCs w:val="21"/>
              </w:rPr>
              <w:t xml:space="preserve">可装配于代谢笼中，实验动物自发运动时可测量呼吸熵、耗氧量、二氧化碳产生量和热量等；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6.4实验动物测试兼容性：小鼠测试；</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6.5 可同时监测通道数：不少于16个。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7、代谢</w:t>
            </w:r>
            <w:r>
              <w:rPr>
                <w:rFonts w:asciiTheme="minorEastAsia" w:hAnsiTheme="minorEastAsia" w:eastAsiaTheme="minorEastAsia"/>
                <w:szCs w:val="21"/>
              </w:rPr>
              <w:t xml:space="preserve">笼</w:t>
            </w:r>
            <w:r>
              <w:rPr>
                <w:rFonts w:asciiTheme="minorEastAsia" w:hAnsiTheme="minorEastAsia" w:eastAsiaTheme="minorEastAsia"/>
                <w:szCs w:val="21"/>
              </w:rPr>
              <w:t xml:space="preserve">模块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7.1 含不少于16个小鼠代谢笼，笼舍采用与常规小鼠饲养</w:t>
            </w:r>
            <w:r>
              <w:rPr>
                <w:rFonts w:asciiTheme="minorEastAsia" w:hAnsiTheme="minorEastAsia" w:eastAsiaTheme="minorEastAsia"/>
                <w:szCs w:val="21"/>
              </w:rPr>
              <w:t xml:space="preserve">笼</w:t>
            </w:r>
            <w:r>
              <w:rPr>
                <w:rFonts w:asciiTheme="minorEastAsia" w:hAnsiTheme="minorEastAsia" w:eastAsiaTheme="minorEastAsia"/>
                <w:szCs w:val="21"/>
              </w:rPr>
              <w:t xml:space="preserve">完全一致的设计，测试时可以放垫料，符合长期监测标准；</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7.2 笼内配置气体导流槽，保证笼内气流单方向定向流动，减少代谢笼内的气体残留；</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7.3 实验过程中，动物笼内可根据实验需要铺设垫料（刨花垫料或玉米芯垫料均可），为动物提供高舒适度的环境；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7.4 笼体</w:t>
            </w:r>
            <w:r>
              <w:rPr>
                <w:rFonts w:asciiTheme="minorEastAsia" w:hAnsiTheme="minorEastAsia" w:eastAsiaTheme="minorEastAsia"/>
                <w:szCs w:val="21"/>
              </w:rPr>
              <w:t xml:space="preserve">盖具备</w:t>
            </w:r>
            <w:r>
              <w:rPr>
                <w:rFonts w:asciiTheme="minorEastAsia" w:hAnsiTheme="minorEastAsia" w:eastAsiaTheme="minorEastAsia"/>
                <w:szCs w:val="21"/>
              </w:rPr>
              <w:t xml:space="preserve">≥7个扩展型接口（气体监测接口除外），可保证多种扩展型监测传感器同时使用。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8、访问控制模块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8.1 摄取访问控制可对饮水或摄食进行访问限制设定；</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8.2 可设定开启时间、摄取时间、摄取量等；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8.3可同时监测通道数：不少于16个。</w:t>
            </w:r>
            <w:r/>
          </w:p>
          <w:p>
            <w:pPr>
              <w:rPr>
                <w:rFonts w:hint="eastAsia" w:cs="宋体" w:asciiTheme="minorEastAsia" w:hAnsiTheme="minorEastAsia" w:eastAsiaTheme="minorEastAsia"/>
                <w:szCs w:val="21"/>
              </w:rPr>
            </w:pPr>
            <w:r>
              <w:rPr>
                <w:rFonts w:asciiTheme="minorEastAsia" w:hAnsiTheme="minorEastAsia" w:eastAsiaTheme="minorEastAsia"/>
                <w:szCs w:val="21"/>
              </w:rPr>
              <w:t xml:space="preserve">9、软件系统：提供与主机同品牌的分析软件与控制软件，除常规记录实验结果功能，还可以对原始数据进行有效的分析和作图，也可以将原始数据导出，用于进一步的统计分析。</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小动物彩超</w:t>
            </w:r>
            <w:r>
              <w:rPr>
                <w:rFonts w:hint="eastAsia" w:asciiTheme="minorEastAsia" w:hAnsiTheme="minorEastAsia" w:eastAsiaTheme="minorEastAsia"/>
                <w:color w:val="ee0000"/>
                <w:szCs w:val="21"/>
              </w:rPr>
              <w:t xml:space="preserve">（核心产品）</w:t>
            </w:r>
            <w:r/>
          </w:p>
        </w:tc>
        <w:tc>
          <w:tcPr>
            <w:tcW w:w="11765"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1、系统具有多模式成像功能：能同时进行高分辨率B超、M超、彩色多普勒、光声成像等功能，无需借助第三方硬件和软件处理，用于小鼠、大鼠等常用模式动物科学研究；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2、系统同时具有光谱分析、血氧饱和度、总血红蛋白测量功能，实时获取小动物的生理信息（心电图、体温、呼吸节律等）、解剖信息（包括脏器的结构、血管结构、肿瘤的大小、探针靶向等）、功能信息以及分子影像信息；</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3、超声主机实时最高采集频率≥1000帧/秒，光声主机实时采集频率最高可达20帧/秒；</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4、光声主机分辨率≤50μm；超声主机分辨率≤30μm；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5、超声主机可连接小动物专用电子线阵探头，主机频率范围1MHz</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MHz，能满足斑马鱼，大/小鼠，猪，狗等常规实验动物的B超观察所需较高频率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6、采集探头：超声/</w:t>
            </w:r>
            <w:r>
              <w:rPr>
                <w:rFonts w:asciiTheme="minorEastAsia" w:hAnsiTheme="minorEastAsia" w:eastAsiaTheme="minorEastAsia"/>
                <w:szCs w:val="21"/>
              </w:rPr>
              <w:t xml:space="preserve">光声双模态</w:t>
            </w:r>
            <w:r>
              <w:rPr>
                <w:rFonts w:asciiTheme="minorEastAsia" w:hAnsiTheme="minorEastAsia" w:eastAsiaTheme="minorEastAsia"/>
                <w:szCs w:val="21"/>
              </w:rPr>
              <w:t xml:space="preserve">电子线阵探头, 采用宽频、电子线阵成像技术，由≥256个独立</w:t>
            </w:r>
            <w:r>
              <w:rPr>
                <w:rFonts w:asciiTheme="minorEastAsia" w:hAnsiTheme="minorEastAsia" w:eastAsiaTheme="minorEastAsia"/>
                <w:szCs w:val="21"/>
              </w:rPr>
              <w:t xml:space="preserve">晶</w:t>
            </w:r>
            <w:r>
              <w:rPr>
                <w:rFonts w:asciiTheme="minorEastAsia" w:hAnsiTheme="minorEastAsia" w:eastAsiaTheme="minorEastAsia"/>
                <w:szCs w:val="21"/>
              </w:rPr>
              <w:t xml:space="preserve">元组成，既可做光声成像也可做超声成像，满足多学科平台众多研究领域需求，无需</w:t>
            </w:r>
            <w:r>
              <w:rPr>
                <w:rFonts w:asciiTheme="minorEastAsia" w:hAnsiTheme="minorEastAsia" w:eastAsiaTheme="minorEastAsia"/>
                <w:szCs w:val="21"/>
              </w:rPr>
              <w:t xml:space="preserve">超声导膜更换</w:t>
            </w:r>
            <w:r>
              <w:rPr>
                <w:rFonts w:asciiTheme="minorEastAsia" w:hAnsiTheme="minorEastAsia" w:eastAsiaTheme="minorEastAsia"/>
                <w:szCs w:val="21"/>
              </w:rPr>
              <w:t xml:space="preserve">，无需注水；</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 配备超高频超声探头：频率范围（20MHz～46MHz），轴向分辨率≤50μm；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8、脉冲可调式激光器：脉冲可调式激光器，波长可调范围包含近红外1区及近红外2区（660nm～1320nm），波长步进：1nm；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9、系统具有支架轨道组合轨道系统，全方位可调探头固定装置，万向球面小动物手术平台三维调整装置；</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10、系统具有小动物手术平台，实现恒温调控加热，并配液晶触摸屏式生理信息检测系统，实时采集体温、心率参数，数据内嵌在主机系统并在系统主机上实时显示；</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11、光声成像模块：脉冲可调式激光器，至少具有氧饱和度，血红蛋白含量测定和光谱分析（全光谱采集、多光谱采集、光谱分离）功能；</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11.1全光谱采集功能，可以控制图像的生成及导出，系统对每个波长进行全自动连续的图像获取；</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11.2多光谱采集功能，可采用不少于5种任意波长激发同一造影对象，进行复合光声成像；</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11.3光谱分离功能，可在同一图像上显示多种来源（例如纳米粒子、小分子、内源性血红蛋白等）的光声信号，可以对多种材料（如染料、纳米粒子和内源性发色团）的信号进行分离和定量；</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w:t>
            </w:r>
            <w:r>
              <w:rPr>
                <w:rFonts w:hint="eastAsia" w:asciiTheme="minorEastAsia" w:hAnsiTheme="minorEastAsia" w:eastAsiaTheme="minorEastAsia"/>
                <w:szCs w:val="21"/>
              </w:rPr>
              <w:t xml:space="preserve">具有</w:t>
            </w:r>
            <w:r>
              <w:rPr>
                <w:rFonts w:asciiTheme="minorEastAsia" w:hAnsiTheme="minorEastAsia" w:eastAsiaTheme="minorEastAsia"/>
                <w:szCs w:val="21"/>
              </w:rPr>
              <w:t xml:space="preserve">3D超声成像模块，适用于肿瘤和其他组织结构的体积量化和测量，可以与其他功能模块结合使用；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w:t>
            </w:r>
            <w:r>
              <w:rPr>
                <w:rFonts w:hint="eastAsia" w:asciiTheme="minorEastAsia" w:hAnsiTheme="minorEastAsia" w:eastAsiaTheme="minorEastAsia"/>
                <w:szCs w:val="21"/>
              </w:rPr>
              <w:t xml:space="preserve">具有</w:t>
            </w:r>
            <w:r>
              <w:rPr>
                <w:rFonts w:asciiTheme="minorEastAsia" w:hAnsiTheme="minorEastAsia" w:eastAsiaTheme="minorEastAsia"/>
                <w:szCs w:val="21"/>
              </w:rPr>
              <w:t xml:space="preserve">B超声功能模块：高速帧频二维超声成像，可以电影图像回放、采集和播放，进行高级测量和注释，提供整合的生理学指标追踪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w:t>
            </w:r>
            <w:r>
              <w:rPr>
                <w:rFonts w:hint="eastAsia" w:asciiTheme="minorEastAsia" w:hAnsiTheme="minorEastAsia" w:eastAsiaTheme="minorEastAsia"/>
                <w:szCs w:val="21"/>
              </w:rPr>
              <w:t xml:space="preserve">具有</w:t>
            </w:r>
            <w:r>
              <w:rPr>
                <w:rFonts w:asciiTheme="minorEastAsia" w:hAnsiTheme="minorEastAsia" w:eastAsiaTheme="minorEastAsia"/>
                <w:szCs w:val="21"/>
              </w:rPr>
              <w:t xml:space="preserve">M超声功能模块：高速帧频进行单线型超声扫描，实现高分辨率下心脏一维切线方向上的心血管功能测量和分析，广泛应用于各类心血管功能评价和药效评估分析；</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15、彩色多普勒功能模块：快速直观显示血流的二维平面分布状态，准确分辨区域内血流方向/平均流速并进行伪色处理，快速显示出血流的性质和流速在心脏、血管内的分布；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16、提供离线数据分析功能，包含常规心血管结构和功能测量包，包含常见腹部脏器测量工具包，离线实现</w:t>
            </w:r>
            <w:r>
              <w:rPr>
                <w:rFonts w:asciiTheme="minorEastAsia" w:hAnsiTheme="minorEastAsia" w:eastAsiaTheme="minorEastAsia"/>
                <w:szCs w:val="21"/>
              </w:rPr>
              <w:t xml:space="preserve">超声光</w:t>
            </w:r>
            <w:r>
              <w:rPr>
                <w:rFonts w:asciiTheme="minorEastAsia" w:hAnsiTheme="minorEastAsia" w:eastAsiaTheme="minorEastAsia"/>
                <w:szCs w:val="21"/>
              </w:rPr>
              <w:t xml:space="preserve">声影像数据的全部处理、图像分析、测量和注释等功能；</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17、提供光声成像暗舱，提高光声成像灵敏度及保护实验人员，成像暗舱配置监控探头实时监测实验情况；</w:t>
            </w:r>
            <w:r/>
          </w:p>
          <w:p>
            <w:pPr>
              <w:rPr>
                <w:rFonts w:hint="eastAsia" w:cs="宋体" w:asciiTheme="minorEastAsia" w:hAnsiTheme="minorEastAsia" w:eastAsiaTheme="minorEastAsia"/>
                <w:szCs w:val="21"/>
              </w:rPr>
            </w:pPr>
            <w:r>
              <w:rPr>
                <w:rFonts w:asciiTheme="minorEastAsia" w:hAnsiTheme="minorEastAsia" w:eastAsiaTheme="minorEastAsia"/>
                <w:szCs w:val="21"/>
              </w:rPr>
              <w:t xml:space="preserve">18、配备小动物吸入式麻醉系统。</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小动物CT</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1、至少包含一套小动物Micro-CT主机及相应成像配件，一套样品台、小鼠床和大鼠床，一台小动物气体麻醉系统，一套骨密度校正体模，一台扫描重建工作站主机及显示器、两台以上三维数据分析工作站主机及显示器，一套CT专用工作台；</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2、机架防护：整机系统具备自屏蔽防护设计，工作时，设备外表面的X射线辐射剂量≤1μSv/h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3、内置小动物实时监控系统，可以在扫描中实时监控动物状态；</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4、具备基于硬件的心电门控和呼吸门控；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5、X射线探测器像素 ≥ 1600万，提供至少4级像素合并方式；</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6、有效横向视野(FOV) ≥ 7 cm ，可根据分辨率或样本尺寸调节大小；</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7、轴向扫描最大范围 ≥ 28 cm，多床位扫描后可自动拼接；</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8、X射线源：</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8.1 最大电压 ≥ 100 kV，功率 ≥ 20 W，电压电流连续可调；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8.2 射线源焦点尺寸 ≤ 5 µm；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8.3 滤片数量 ≥ 6，包括low-dose低剂量滤片，可通过软件操作滤片切换；</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9、内置实时放射剂量测定仪：扫描时可以实时显示动物接受的辐射剂量率和剂量；</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10、集成式生理监控系统，包含：呼吸门控系统、心电门控系统、运动实时显示和监测系统、温度稳定控制系统、气体麻醉接口；</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11、动物床和样品台：</w:t>
            </w:r>
            <w:r/>
          </w:p>
          <w:p>
            <w:pPr>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11.1</w:t>
            </w:r>
            <w:r>
              <w:rPr>
                <w:rFonts w:asciiTheme="minorEastAsia" w:hAnsiTheme="minorEastAsia" w:eastAsiaTheme="minorEastAsia"/>
                <w:color w:val="000000" w:themeColor="text1"/>
                <w:szCs w:val="21"/>
              </w:rPr>
              <w:t xml:space="preserve">小鼠床</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大鼠床</w:t>
            </w:r>
            <w:r>
              <w:rPr>
                <w:rFonts w:hint="eastAsia" w:asciiTheme="minorEastAsia" w:hAnsiTheme="minorEastAsia" w:eastAsiaTheme="minorEastAsia"/>
                <w:color w:val="000000" w:themeColor="text1"/>
                <w:szCs w:val="21"/>
              </w:rPr>
              <w:t xml:space="preserve">和</w:t>
            </w:r>
            <w:r>
              <w:rPr>
                <w:rFonts w:asciiTheme="minorEastAsia" w:hAnsiTheme="minorEastAsia" w:eastAsiaTheme="minorEastAsia"/>
                <w:color w:val="000000" w:themeColor="text1"/>
                <w:szCs w:val="21"/>
              </w:rPr>
              <w:t xml:space="preserve">离体样品台≥</w:t>
            </w:r>
            <w:r>
              <w:rPr>
                <w:rFonts w:hint="eastAsia" w:asciiTheme="minorEastAsia" w:hAnsiTheme="minorEastAsia" w:eastAsiaTheme="minorEastAsia"/>
                <w:color w:val="000000" w:themeColor="text1"/>
                <w:szCs w:val="21"/>
              </w:rPr>
              <w:t xml:space="preserve">6</w:t>
            </w:r>
            <w:r>
              <w:rPr>
                <w:rFonts w:asciiTheme="minorEastAsia" w:hAnsiTheme="minorEastAsia" w:eastAsiaTheme="minorEastAsia"/>
                <w:color w:val="000000" w:themeColor="text1"/>
                <w:szCs w:val="21"/>
              </w:rPr>
              <w:t xml:space="preserve">个</w:t>
            </w:r>
            <w:r>
              <w:rPr>
                <w:rFonts w:hint="eastAsia" w:asciiTheme="minorEastAsia" w:hAnsiTheme="minorEastAsia" w:eastAsiaTheme="minorEastAsia"/>
                <w:color w:val="000000" w:themeColor="text1"/>
                <w:szCs w:val="21"/>
              </w:rPr>
              <w:t xml:space="preserve">（至少包含</w:t>
            </w:r>
            <w:r>
              <w:rPr>
                <w:rFonts w:asciiTheme="minorEastAsia" w:hAnsiTheme="minorEastAsia" w:eastAsiaTheme="minorEastAsia"/>
                <w:color w:val="000000" w:themeColor="text1"/>
                <w:szCs w:val="21"/>
              </w:rPr>
              <w:t xml:space="preserve">小鼠床</w:t>
            </w: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个</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大鼠床</w:t>
            </w: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个</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离体样品台</w:t>
            </w:r>
            <w:r>
              <w:rPr>
                <w:rFonts w:hint="eastAsia" w:asciiTheme="minorEastAsia" w:hAnsiTheme="minorEastAsia" w:eastAsiaTheme="minorEastAsia"/>
                <w:color w:val="000000" w:themeColor="text1"/>
                <w:szCs w:val="21"/>
              </w:rPr>
              <w:t xml:space="preserve">3</w:t>
            </w:r>
            <w:r>
              <w:rPr>
                <w:rFonts w:asciiTheme="minorEastAsia" w:hAnsiTheme="minorEastAsia" w:eastAsiaTheme="minorEastAsia"/>
                <w:color w:val="000000" w:themeColor="text1"/>
                <w:szCs w:val="21"/>
              </w:rPr>
              <w:t xml:space="preserve">个</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11.2 动物床配备麻醉管路和气体面罩，以及心电图电极和温度传感器的连接器；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12、分辨率：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12.1 最高分辨率 ≤ 3 µm；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12.2 低对比度空间分辨率(10%MTF)：≤ 6 µm；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12.3图片分辨率连续可调；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13、扫描方式包括：步进式扫描、连续式扫描和螺旋扫描模式，扫描时同步支持时间解析4D呼吸门控扫描和心电门控扫描，离体样本支持批扫描功能；</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14、重建方式包括GPU加速重建和螺旋扫描重建算法；单次扫描后重建最大体积≥ </w:t>
            </w:r>
            <w:r>
              <w:rPr>
                <w:rFonts w:asciiTheme="minorEastAsia" w:hAnsiTheme="minorEastAsia" w:eastAsiaTheme="minorEastAsia"/>
                <w:szCs w:val="21"/>
              </w:rPr>
              <w:t xml:space="preserve">7800x7800x</w:t>
            </w:r>
            <w:r>
              <w:rPr>
                <w:rFonts w:asciiTheme="minorEastAsia" w:hAnsiTheme="minorEastAsia" w:eastAsiaTheme="minorEastAsia"/>
                <w:szCs w:val="21"/>
              </w:rPr>
              <w:t xml:space="preserve">2500体素；</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15、软件包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15.1包含扫描控制软件、GPU加速数据重建软件、重建结果可视化软件、2D/3D图片处理和数据分析软件、表面重建可视化软件、容积重建可视化软件；</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15.2可导出STL文件，支持3D打印机和有限元分析；</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15.3分析软件提供骨密度和形态分析功能，能批量化进行数据的自动分析和保存；</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15.4具备斜切功能：重建完成后的图像在2D和3D状态下都可以进行任意角度的斜切操作，并能重新保存成为新断层图片；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15.5具备2D和3D分析功能，包括：尺寸、面积、角度、体积、密度等，可以获取重建后3D图像任意点的三维坐标参数；</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15.6软件系统自带GLP模块，扫描软件内置自动校准和背景校正模块；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15.7全套软件终身免费升级更新；</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16、扫描重建工作站：</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16.1处理器：英特尔至强处理器，≥12 核；</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16.2内存≥ 128GB，显卡≥ 16G NVIDIA® Quadro®；硬盘≥ 8TB；</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16.3 系统：Windows 10 Professional 64位操作系统以上；</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16.4显示器：≥24英寸影像专用显示器。</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小动物活体可见光成像系统</w:t>
            </w:r>
            <w:r/>
          </w:p>
        </w:tc>
        <w:tc>
          <w:tcPr>
            <w:tcW w:w="11765"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1、至少包含一套小动物活体可见光成像主机及相应成像配件、一台小动物气体麻醉系统、一台终端显示器、一套操作软件和</w:t>
            </w:r>
            <w:r>
              <w:rPr>
                <w:rFonts w:asciiTheme="minorEastAsia" w:hAnsiTheme="minorEastAsia" w:eastAsiaTheme="minorEastAsia"/>
                <w:color w:val="000000" w:themeColor="text1"/>
                <w:szCs w:val="21"/>
              </w:rPr>
              <w:t xml:space="preserve">四套分析软件。</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2、采用顶</w:t>
            </w:r>
            <w:r>
              <w:rPr>
                <w:rFonts w:asciiTheme="minorEastAsia" w:hAnsiTheme="minorEastAsia" w:eastAsiaTheme="minorEastAsia"/>
                <w:szCs w:val="21"/>
              </w:rPr>
              <w:t xml:space="preserve">置式背照射</w:t>
            </w:r>
            <w:r>
              <w:rPr>
                <w:rFonts w:asciiTheme="minorEastAsia" w:hAnsiTheme="minorEastAsia" w:eastAsiaTheme="minorEastAsia"/>
                <w:szCs w:val="21"/>
              </w:rPr>
              <w:t xml:space="preserve">、</w:t>
            </w:r>
            <w:r>
              <w:rPr>
                <w:rFonts w:asciiTheme="minorEastAsia" w:hAnsiTheme="minorEastAsia" w:eastAsiaTheme="minorEastAsia"/>
                <w:szCs w:val="21"/>
              </w:rPr>
              <w:t xml:space="preserve">背部薄化科学</w:t>
            </w:r>
            <w:r>
              <w:rPr>
                <w:rFonts w:asciiTheme="minorEastAsia" w:hAnsiTheme="minorEastAsia" w:eastAsiaTheme="minorEastAsia"/>
                <w:szCs w:val="21"/>
              </w:rPr>
              <w:t xml:space="preserve">一级CCD，工作温度达到零下绝对-90℃，温度实时可视化；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3、CCD尺寸不小于1.0 x 1.0 cm，有效像素数量不少于100万，CCD 量子效率大于8</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%（500-700nm）；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4、系统最小检测光子数不高于110光子/秒/弧度/平方厘米；</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5、采用50 mm焦距定焦镜头，最大光圈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f/0.95；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6、成像视野范围可调，最小视野≤5cm×5cm，最大视野≥24cm×24cm，可单次成像1-5只小鼠；</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7、动物载物台温度可控（20-40℃），且即时温度可通过软件显示；</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8、CCD检测灵敏度达到可检测小鼠皮下少于10个发光细胞；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9、荧光光源采用金属卤素灯，荧光光源功率≥100瓦；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10、荧光光源覆盖波段：400-1000nm全波段连续光谱；激发光滤片转轮可同时装载至少2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个滤片，</w:t>
            </w:r>
            <w:r>
              <w:rPr>
                <w:rFonts w:asciiTheme="minorEastAsia" w:hAnsiTheme="minorEastAsia" w:eastAsiaTheme="minorEastAsia"/>
                <w:szCs w:val="21"/>
              </w:rPr>
              <w:t xml:space="preserve">标配滤片</w:t>
            </w:r>
            <w:r>
              <w:rPr>
                <w:rFonts w:asciiTheme="minorEastAsia" w:hAnsiTheme="minorEastAsia" w:eastAsiaTheme="minorEastAsia"/>
                <w:szCs w:val="21"/>
              </w:rPr>
              <w:t xml:space="preserve">数量不少于18个；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11、发射光滤片转轮可同时装载至少8个滤片，</w:t>
            </w:r>
            <w:r>
              <w:rPr>
                <w:rFonts w:asciiTheme="minorEastAsia" w:hAnsiTheme="minorEastAsia" w:eastAsiaTheme="minorEastAsia"/>
                <w:szCs w:val="21"/>
              </w:rPr>
              <w:t xml:space="preserve">标配滤片</w:t>
            </w:r>
            <w:r>
              <w:rPr>
                <w:rFonts w:asciiTheme="minorEastAsia" w:hAnsiTheme="minorEastAsia" w:eastAsiaTheme="minorEastAsia"/>
                <w:szCs w:val="21"/>
              </w:rPr>
              <w:t xml:space="preserve">数量不少于7个；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12、滤光片采用精密离子束溅射技术进行硬涂层处理，透光率高于90%，截止率OD≥7；</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13、仪器具备定时自检功能，可自动去除仪器本身产生的背景信号；</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14、具备两种成像模式和设置向导，有内置荧光探针库，涵盖超过50种探针的激发和发射光谱，能自动设置最佳成像滤光片；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15、可通过软件设置自动顺序成像，使仪器自动完成多时间点、多通道荧光成像；</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16、具备多光谱分离模块，可进行背景光去除、探针纯光谱信息提取、多探针分离、信号光谱特征分类、图像叠加等操作；具备基于定量分析结果的荧光背景扣除算法；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17、采用公认的定量标准，生物发光以动物体表单位时间、单位面积、单位弧度发出的光子数作为定量单位；</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18、荧光定量采用公认的标准，以单位时间、单位面积、单位弧度和单位激发光强下发出的光子数作为定量单位，确保不同成像参数获得的数据可直接进行比较；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19、具备圆形、矩形、轮廓线、不同规格微孔板等多种ROI圈选模式，用于信号的定量分析；</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20、荧光和发光成像与明场成像自动叠加，无需使用者手动干预；</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21、可通过软件记录实验相关内容，并自动添加于成像结果中，利于实验结果的管理；</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22、内置细胞发光曲线测定功能，软件可以根据孔板成像数据，自动计算细胞的发光曲线及单细胞发光强度。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23、使用高反射率半球进行严格成像测试, 以确保仪器成像仓的避光性，避免光泄漏；</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rPr>
        <w:t xml:space="preserve">本项目核心产品为：</w:t>
      </w:r>
      <w:r>
        <w:rPr>
          <w:rFonts w:ascii="宋体" w:hAnsi="宋体"/>
          <w:b/>
          <w:bCs/>
          <w:sz w:val="24"/>
        </w:rPr>
        <w:t xml:space="preserve">小动物彩超</w:t>
      </w:r>
      <w:r>
        <w:rPr>
          <w:rFonts w:hint="eastAsia" w:ascii="宋体" w:hAnsi="宋体"/>
          <w:b/>
          <w:bCs/>
          <w:sz w:val="24"/>
        </w:rPr>
        <w:t xml:space="preserve">（采购清单序号:10）</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989"/>
        <w:ind w:firstLine="480"/>
        <w:spacing w:before="0" w:line="360" w:lineRule="auto"/>
        <w:rPr>
          <w:rFonts w:hint="eastAsia" w:cs="宋体"/>
        </w:rPr>
      </w:pPr>
      <w:r>
        <w:rPr>
          <w:rFonts w:hint="eastAsia" w:cs="宋体"/>
        </w:rPr>
        <w:t xml:space="preserve">1、</w:t>
      </w:r>
      <w:bookmarkStart w:id="292" w:name="_Hlk210046406"/>
      <w:r>
        <w:rPr>
          <w:rFonts w:hint="eastAsia"/>
        </w:rPr>
        <w:t xml:space="preserve">货物报价：投标报价采用固定单价形式报价，数量按实结算。所报价格包括所投货物及其备品、备件和专用工具费用、税费及包装、运至最终目的地</w:t>
      </w:r>
      <w:r>
        <w:rPr>
          <w:rFonts w:hint="eastAsia"/>
        </w:rPr>
        <w:t xml:space="preserve">的运输、仓储、保险、现场吊装、检测验收、检测费、安装调试、技术支持与培训、售后服务</w:t>
      </w:r>
      <w:r>
        <w:rPr>
          <w:rFonts w:hint="eastAsia"/>
        </w:rPr>
        <w:t xml:space="preserve">与维保及</w:t>
      </w:r>
      <w:r>
        <w:rPr>
          <w:rFonts w:hint="eastAsia"/>
        </w:rPr>
        <w:t xml:space="preserve">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2"/>
      <w:r/>
      <w:r/>
    </w:p>
    <w:p>
      <w:pPr>
        <w:pStyle w:val="989"/>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3" w:name="_Toc99301425"/>
      <w:r>
        <w:rPr>
          <w:b/>
          <w:sz w:val="36"/>
          <w:szCs w:val="36"/>
        </w:rPr>
        <w:t xml:space="preserve">第六章</w:t>
      </w:r>
      <w:r>
        <w:rPr>
          <w:b/>
          <w:sz w:val="36"/>
          <w:szCs w:val="36"/>
        </w:rPr>
        <w:t xml:space="preserve">   </w:t>
      </w:r>
      <w:r>
        <w:rPr>
          <w:b/>
          <w:sz w:val="36"/>
          <w:szCs w:val="36"/>
        </w:rPr>
        <w:t xml:space="preserve">合同文本</w:t>
      </w:r>
      <w:bookmarkEnd w:id="293"/>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南医大常州医疗健康科技园新建工程一期动物学与细胞培养仪器设备采购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23"/>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4"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包含小动物代谢监测系统设备、小动物彩超、小动物CT、小动物活体可见光成像系统设备等相关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南医大常州医疗健康科技园新建工程一期动物学与细胞培养仪器设备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4"/>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p>
    <w:p>
      <w:pPr>
        <w:jc w:val="left"/>
        <w:widowControl/>
        <w:rPr>
          <w:sz w:val="24"/>
        </w:rPr>
      </w:pPr>
      <w:r>
        <w:rPr>
          <w:sz w:val="24"/>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800"/>
      </w:pPr>
      <w:r/>
      <w:r/>
    </w:p>
    <w:p>
      <w:pPr>
        <w:pStyle w:val="800"/>
      </w:pPr>
      <w:r/>
      <w:r/>
    </w:p>
    <w:p>
      <w:pPr>
        <w:pStyle w:val="788"/>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788"/>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23"/>
        <w:rPr>
          <w:rFonts w:hint="eastAsia"/>
          <w:color w:val="auto"/>
        </w:rPr>
      </w:pPr>
      <w:r>
        <w:rPr>
          <w:rFonts w:hint="eastAsia"/>
          <w:color w:val="auto"/>
        </w:rPr>
      </w:r>
      <w:r/>
    </w:p>
    <w:p>
      <w:pPr>
        <w:pStyle w:val="989"/>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23"/>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788"/>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23"/>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23"/>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南医大常州医疗健康科技园新建工程一期动物学与细胞培养仪器设备采购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24"/>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788"/>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00"/>
      </w:pPr>
      <w:r/>
      <w:r/>
    </w:p>
    <w:p>
      <w:pPr>
        <w:pStyle w:val="1199"/>
        <w:rPr>
          <w:rFonts w:hint="eastAsia" w:ascii="宋体" w:hAnsi="宋体" w:cs="楷体"/>
          <w:b/>
          <w:bCs/>
          <w:sz w:val="24"/>
          <w:szCs w:val="24"/>
        </w:rPr>
      </w:pPr>
      <w:r>
        <w:rPr>
          <w:rFonts w:hint="eastAsia"/>
          <w:b/>
          <w:bCs/>
          <w:sz w:val="24"/>
          <w:szCs w:val="24"/>
        </w:rPr>
        <w:t xml:space="preserve">注意事项：</w:t>
      </w:r>
      <w:bookmarkStart w:id="295"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989"/>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19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92"/>
        <w:ind w:firstLine="480"/>
        <w:rPr>
          <w:rFonts w:hint="eastAsia" w:ascii="宋体" w:hAnsi="宋体" w:eastAsia="宋体" w:cs="楷体"/>
          <w:sz w:val="24"/>
          <w:szCs w:val="24"/>
        </w:rPr>
      </w:pPr>
      <w:r>
        <w:rPr>
          <w:rFonts w:hint="eastAsia" w:ascii="宋体" w:hAnsi="宋体" w:eastAsia="宋体" w:cs="楷体"/>
          <w:sz w:val="24"/>
          <w:szCs w:val="24"/>
        </w:rPr>
      </w:r>
      <w:r/>
    </w:p>
    <w:p>
      <w:pPr>
        <w:pStyle w:val="1192"/>
        <w:ind w:firstLine="0"/>
      </w:pPr>
      <w:r/>
      <w:r/>
    </w:p>
    <w:p>
      <w:pPr>
        <w:pStyle w:val="1192"/>
        <w:ind w:firstLine="0"/>
      </w:pPr>
      <w:r/>
      <w:r/>
    </w:p>
    <w:p>
      <w:pPr>
        <w:pStyle w:val="1192"/>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192"/>
        <w:ind w:firstLine="400"/>
      </w:pPr>
      <w:r/>
      <w:r/>
    </w:p>
    <w:p>
      <w:pPr>
        <w:pStyle w:val="989"/>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19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89"/>
        <w:spacing w:line="440" w:lineRule="exact"/>
        <w:rPr>
          <w:rFonts w:hint="eastAsia" w:cs="楷体"/>
        </w:rPr>
      </w:pPr>
      <w:r>
        <w:rPr>
          <w:rFonts w:hint="eastAsia" w:cs="楷体"/>
        </w:rPr>
      </w:r>
      <w:r/>
    </w:p>
    <w:p>
      <w:pPr>
        <w:pStyle w:val="989"/>
        <w:spacing w:line="440" w:lineRule="exact"/>
        <w:rPr>
          <w:rFonts w:hint="eastAsia" w:cs="楷体"/>
        </w:rPr>
      </w:pPr>
      <w:r>
        <w:rPr>
          <w:rFonts w:hint="eastAsia" w:cs="楷体"/>
        </w:rPr>
      </w:r>
      <w:r/>
    </w:p>
    <w:p>
      <w:pPr>
        <w:pStyle w:val="989"/>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bookmarkStart w:id="296" w:name="_Toc425"/>
      <w:r/>
      <w:bookmarkStart w:id="297" w:name="_Toc29116"/>
      <w:r/>
      <w:bookmarkStart w:id="298" w:name="_Toc373054875"/>
      <w:r/>
      <w:bookmarkStart w:id="299" w:name="_Toc30417"/>
      <w:r/>
      <w:bookmarkEnd w:id="295"/>
      <w:r/>
      <w:bookmarkEnd w:id="296"/>
      <w:r/>
      <w:bookmarkEnd w:id="297"/>
      <w:r/>
      <w:bookmarkEnd w:id="298"/>
      <w:r/>
      <w:bookmarkEnd w:id="299"/>
      <w:r>
        <w:rPr>
          <w:rFonts w:hint="eastAsia"/>
          <w:b/>
          <w:spacing w:val="20"/>
          <w:sz w:val="32"/>
          <w:szCs w:val="32"/>
        </w:rPr>
        <w:t xml:space="preserve">六、项目实施方案</w:t>
      </w:r>
      <w:r>
        <w:rPr>
          <w:rFonts w:hint="eastAsia"/>
          <w:b/>
          <w:spacing w:val="20"/>
          <w:sz w:val="32"/>
          <w:szCs w:val="32"/>
        </w:rPr>
        <w:t xml:space="preserve"> </w:t>
      </w:r>
      <w:r/>
    </w:p>
    <w:p>
      <w:pPr>
        <w:pStyle w:val="989"/>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23"/>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199"/>
      </w:pPr>
      <w:r/>
      <w:r/>
    </w:p>
    <w:p>
      <w:pPr>
        <w:pStyle w:val="1199"/>
      </w:pPr>
      <w:r/>
      <w:r/>
    </w:p>
    <w:p>
      <w:pPr>
        <w:pStyle w:val="1199"/>
      </w:pPr>
      <w:r/>
      <w:r/>
    </w:p>
    <w:p>
      <w:pPr>
        <w:pStyle w:val="1199"/>
      </w:pPr>
      <w:r/>
      <w:r/>
    </w:p>
    <w:p>
      <w:pPr>
        <w:pStyle w:val="1199"/>
      </w:pPr>
      <w:r/>
      <w:r/>
    </w:p>
    <w:p>
      <w:pPr>
        <w:pStyle w:val="1199"/>
      </w:pPr>
      <w:r/>
      <w:r/>
    </w:p>
    <w:p>
      <w:pPr>
        <w:pStyle w:val="1199"/>
      </w:pPr>
      <w:r/>
      <w:r/>
    </w:p>
    <w:p>
      <w:pPr>
        <w:ind w:firstLine="2529"/>
        <w:spacing w:line="400" w:lineRule="exact"/>
        <w:rPr>
          <w:b/>
          <w:spacing w:val="20"/>
          <w:sz w:val="32"/>
          <w:szCs w:val="32"/>
        </w:rPr>
        <w:outlineLvl w:val="1"/>
      </w:pPr>
      <w:r>
        <w:rPr>
          <w:rFonts w:hint="eastAsia"/>
          <w:b/>
          <w:spacing w:val="20"/>
          <w:sz w:val="32"/>
          <w:szCs w:val="32"/>
        </w:rPr>
        <w:t xml:space="preserve">七、基本服务承诺书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23"/>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199"/>
      </w:p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八、法人授权书（实质性格式）</w:t>
      </w:r>
      <w:r/>
    </w:p>
    <w:p>
      <w:pPr>
        <w:pStyle w:val="1023"/>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300" w:name="_Hlk82432533"/>
      <w:r>
        <w:rPr>
          <w:rFonts w:hint="eastAsia" w:ascii="宋体" w:hAnsi="宋体"/>
          <w:sz w:val="24"/>
        </w:rPr>
        <w:t xml:space="preserve">代理人作出</w:t>
      </w:r>
      <w:bookmarkStart w:id="301" w:name="_Hlk89243734"/>
      <w:r>
        <w:rPr>
          <w:rFonts w:hint="eastAsia" w:ascii="宋体" w:hAnsi="宋体"/>
          <w:sz w:val="24"/>
        </w:rPr>
        <w:t xml:space="preserve">任何我单位放弃权利或承担义务的意思表示</w:t>
      </w:r>
      <w:bookmarkEnd w:id="301"/>
      <w:r>
        <w:rPr>
          <w:rFonts w:hint="eastAsia" w:ascii="宋体" w:hAnsi="宋体"/>
          <w:sz w:val="24"/>
        </w:rPr>
        <w:t xml:space="preserve">，</w:t>
      </w:r>
      <w:bookmarkStart w:id="302" w:name="_Hlk89243746"/>
      <w:r>
        <w:rPr>
          <w:rFonts w:hint="eastAsia" w:ascii="宋体" w:hAnsi="宋体"/>
          <w:sz w:val="24"/>
        </w:rPr>
        <w:t xml:space="preserve">应加盖我单位有效印章</w:t>
      </w:r>
      <w:bookmarkEnd w:id="302"/>
      <w:r>
        <w:rPr>
          <w:rFonts w:hint="eastAsia" w:ascii="宋体" w:hAnsi="宋体"/>
          <w:sz w:val="24"/>
        </w:rPr>
        <w:t xml:space="preserve">方对我单位具有约束力</w:t>
      </w:r>
      <w:bookmarkEnd w:id="300"/>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3" w:name="_格式3__银行出具的资信证明"/>
      <w:r/>
      <w:bookmarkStart w:id="304" w:name="_Hlt26671380"/>
      <w:r/>
      <w:bookmarkStart w:id="305" w:name="_Hlt26955070"/>
      <w:r/>
      <w:bookmarkEnd w:id="303"/>
      <w:r/>
      <w:bookmarkEnd w:id="304"/>
      <w:r/>
      <w:bookmarkEnd w:id="305"/>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192"/>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199"/>
      </w:pPr>
      <w:r/>
      <w:r/>
    </w:p>
    <w:p>
      <w:pPr>
        <w:jc w:val="center"/>
        <w:spacing w:line="400" w:lineRule="exact"/>
        <w:rPr>
          <w:b/>
          <w:spacing w:val="20"/>
          <w:sz w:val="32"/>
          <w:szCs w:val="32"/>
        </w:rPr>
        <w:outlineLvl w:val="1"/>
      </w:pPr>
      <w:r>
        <w:rPr>
          <w:rFonts w:hint="eastAsia"/>
          <w:b/>
          <w:spacing w:val="20"/>
          <w:sz w:val="32"/>
          <w:szCs w:val="32"/>
        </w:rPr>
        <w:t xml:space="preserve">十、政府采购供应商信用承诺书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6"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6"/>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7"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7"/>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989"/>
        <w:rPr>
          <w:rFonts w:ascii="Times New Roman" w:hAnsi="Times New Roman"/>
          <w:sz w:val="20"/>
          <w:szCs w:val="20"/>
        </w:rPr>
      </w:pPr>
      <w:r>
        <w:rPr>
          <w:rFonts w:ascii="Times New Roman" w:hAnsi="Times New Roman"/>
          <w:sz w:val="20"/>
          <w:szCs w:val="20"/>
        </w:rPr>
      </w:r>
      <w:r/>
    </w:p>
    <w:p>
      <w:pPr>
        <w:pStyle w:val="989"/>
        <w:rPr>
          <w:rFonts w:hint="eastAsia"/>
        </w:rPr>
      </w:pPr>
      <w:r>
        <w:rPr>
          <w:rFonts w:hint="eastAsia"/>
        </w:rPr>
      </w:r>
      <w:r/>
    </w:p>
    <w:p>
      <w:pPr>
        <w:pStyle w:val="989"/>
        <w:rPr>
          <w:rFonts w:hint="eastAsia"/>
        </w:rPr>
      </w:pPr>
      <w:r>
        <w:rPr>
          <w:rFonts w:hint="eastAsia"/>
        </w:rPr>
      </w:r>
      <w:r/>
    </w:p>
    <w:p>
      <w:pPr>
        <w:jc w:val="center"/>
        <w:rPr>
          <w:b/>
          <w:spacing w:val="20"/>
          <w:sz w:val="32"/>
          <w:szCs w:val="32"/>
        </w:rPr>
      </w:pPr>
      <w:r>
        <w:rPr>
          <w:b/>
          <w:spacing w:val="20"/>
          <w:sz w:val="32"/>
          <w:szCs w:val="32"/>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十三、技术偏离表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199"/>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十四、合同条款偏离表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十五、采购需求偏离表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十六、其他格式材料</w:t>
      </w:r>
      <w:r/>
    </w:p>
    <w:p>
      <w:pPr>
        <w:pStyle w:val="1023"/>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23"/>
        <w:ind w:left="3780" w:firstLine="420"/>
        <w:rPr>
          <w:rFonts w:hint="eastAsia" w:ascii="宋体" w:hAnsi="宋体"/>
          <w:bCs/>
          <w:color w:val="auto"/>
        </w:rPr>
      </w:pPr>
      <w:r>
        <w:rPr>
          <w:rFonts w:hint="eastAsia" w:ascii="宋体" w:hAnsi="宋体"/>
          <w:bCs/>
          <w:color w:val="auto"/>
        </w:rPr>
      </w:r>
      <w:r/>
    </w:p>
    <w:p>
      <w:pPr>
        <w:pStyle w:val="1023"/>
        <w:ind w:left="3780" w:firstLine="420"/>
        <w:rPr>
          <w:rFonts w:hint="eastAsia" w:ascii="宋体" w:hAnsi="宋体"/>
          <w:bCs/>
          <w:color w:val="auto"/>
        </w:rPr>
      </w:pPr>
      <w:r>
        <w:rPr>
          <w:rFonts w:hint="eastAsia" w:ascii="宋体" w:hAnsi="宋体"/>
          <w:bCs/>
          <w:color w:val="auto"/>
        </w:rPr>
      </w:r>
      <w:r/>
    </w:p>
    <w:p>
      <w:pPr>
        <w:pStyle w:val="1023"/>
        <w:ind w:left="3780" w:firstLine="420"/>
        <w:rPr>
          <w:rFonts w:hint="eastAsia" w:ascii="宋体" w:hAnsi="宋体"/>
          <w:bCs/>
          <w:color w:val="auto"/>
        </w:rPr>
      </w:pPr>
      <w:r>
        <w:rPr>
          <w:rFonts w:hint="eastAsia" w:ascii="宋体" w:hAnsi="宋体"/>
          <w:bCs/>
          <w:color w:val="auto"/>
        </w:rPr>
      </w:r>
      <w:r/>
    </w:p>
    <w:p>
      <w:pPr>
        <w:pStyle w:val="1023"/>
        <w:ind w:left="3780" w:firstLine="420"/>
        <w:rPr>
          <w:rFonts w:hint="eastAsia" w:ascii="宋体" w:hAnsi="宋体"/>
          <w:bCs/>
          <w:color w:val="auto"/>
        </w:rPr>
      </w:pPr>
      <w:r>
        <w:rPr>
          <w:rFonts w:hint="eastAsia" w:ascii="宋体" w:hAnsi="宋体"/>
          <w:bCs/>
          <w:color w:val="auto"/>
        </w:rPr>
      </w:r>
      <w:r/>
    </w:p>
    <w:p>
      <w:pPr>
        <w:pStyle w:val="1023"/>
        <w:ind w:left="3780" w:firstLine="420"/>
        <w:rPr>
          <w:rFonts w:hint="eastAsia" w:ascii="宋体" w:hAnsi="宋体"/>
          <w:bCs/>
          <w:color w:val="auto"/>
        </w:rPr>
      </w:pPr>
      <w:r>
        <w:rPr>
          <w:rFonts w:hint="eastAsia" w:ascii="宋体" w:hAnsi="宋体"/>
          <w:bCs/>
          <w:color w:val="auto"/>
        </w:rPr>
      </w:r>
      <w:r/>
    </w:p>
    <w:p>
      <w:pPr>
        <w:pStyle w:val="1023"/>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23"/>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23"/>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23"/>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199"/>
      </w:pPr>
      <w:r/>
      <w:r/>
    </w:p>
    <w:p>
      <w:pPr>
        <w:pStyle w:val="1023"/>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1018"/>
      </w:rPr>
      <w:framePr w:wrap="around" w:vAnchor="text" w:hAnchor="margin" w:xAlign="right" w:y="1"/>
    </w:pPr>
    <w:r/>
    <w:r/>
  </w:p>
  <w:p>
    <w:pPr>
      <w:pStyle w:val="83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1018"/>
      </w:rPr>
      <w:framePr w:wrap="around" w:vAnchor="text" w:hAnchor="margin" w:xAlign="right" w:y="1"/>
    </w:pPr>
    <w:r>
      <w:rPr>
        <w:rStyle w:val="1018"/>
      </w:rPr>
      <w:fldChar w:fldCharType="begin"/>
    </w:r>
    <w:r>
      <w:rPr>
        <w:rStyle w:val="1018"/>
      </w:rPr>
      <w:instrText xml:space="preserve">PAGE  </w:instrText>
    </w:r>
    <w:r>
      <w:rPr>
        <w:rStyle w:val="1018"/>
      </w:rPr>
      <w:fldChar w:fldCharType="end"/>
    </w:r>
    <w:r/>
  </w:p>
  <w:p>
    <w:pPr>
      <w:pStyle w:val="83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8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90"/>
      <w:isLgl w:val="false"/>
      <w:suff w:val="nothing"/>
      <w:lvlText w:val="%1.%2.%3.%4.%5.%6　"/>
      <w:lvlJc w:val="left"/>
      <w:pPr>
        <w:ind w:left="-25" w:firstLine="0"/>
      </w:pPr>
      <w:rPr>
        <w:rFonts w:ascii="Times New Roman" w:hAnsi="Times New Roman" w:eastAsia="宋体"/>
        <w:b/>
        <w:i w:val="0"/>
        <w:sz w:val="28"/>
      </w:rPr>
    </w:lvl>
    <w:lvl w:ilvl="6">
      <w:start w:val="1"/>
      <w:numFmt w:val="lowerLetter"/>
      <w:pStyle w:val="1103"/>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66"/>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084"/>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5">
    <w:multiLevelType w:val="hybridMultilevel"/>
    <w:lvl w:ilvl="0">
      <w:start w:val="1"/>
      <w:numFmt w:val="lowerLetter"/>
      <w:pStyle w:val="112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52"/>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09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05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150"/>
      <w:isLgl w:val="false"/>
      <w:suff w:val="tab"/>
      <w:lvlText w:val="%1"/>
      <w:lvlJc w:val="left"/>
      <w:pPr>
        <w:ind w:left="680" w:hanging="680"/>
      </w:pPr>
      <w:rPr>
        <w:rFonts w:hint="eastAsia" w:ascii="宋体" w:hAnsi="宋体" w:eastAsia="宋体"/>
      </w:rPr>
    </w:lvl>
    <w:lvl w:ilvl="1">
      <w:start w:val="1"/>
      <w:numFmt w:val="decimal"/>
      <w:pStyle w:val="1151"/>
      <w:isLgl w:val="false"/>
      <w:suff w:val="tab"/>
      <w:lvlText w:val="%1.%2"/>
      <w:lvlJc w:val="left"/>
      <w:pPr>
        <w:ind w:left="851" w:hanging="851"/>
      </w:pPr>
      <w:rPr>
        <w:rFonts w:hint="eastAsia" w:ascii="宋体" w:hAnsi="宋体" w:eastAsia="宋体"/>
        <w:color w:val="000000"/>
      </w:rPr>
    </w:lvl>
    <w:lvl w:ilvl="2">
      <w:start w:val="1"/>
      <w:numFmt w:val="decimal"/>
      <w:pStyle w:val="11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9"/>
  </w:num>
  <w:num w:numId="2">
    <w:abstractNumId w:val="17"/>
  </w:num>
  <w:num w:numId="3">
    <w:abstractNumId w:val="19"/>
  </w:num>
  <w:num w:numId="4">
    <w:abstractNumId w:val="14"/>
  </w:num>
  <w:num w:numId="5">
    <w:abstractNumId w:val="18"/>
  </w:num>
  <w:num w:numId="6">
    <w:abstractNumId w:val="15"/>
  </w:num>
  <w:num w:numId="7">
    <w:abstractNumId w:val="23"/>
  </w:num>
  <w:num w:numId="8">
    <w:abstractNumId w:val="12"/>
  </w:num>
  <w:num w:numId="9">
    <w:abstractNumId w:val="11"/>
  </w:num>
  <w:num w:numId="10">
    <w:abstractNumId w:val="16"/>
  </w:num>
  <w:num w:numId="11">
    <w:abstractNumId w:val="2"/>
  </w:num>
  <w:num w:numId="12">
    <w:abstractNumId w:val="5"/>
  </w:num>
  <w:num w:numId="13">
    <w:abstractNumId w:val="20"/>
  </w:num>
  <w:num w:numId="14">
    <w:abstractNumId w:val="13"/>
  </w:num>
  <w:num w:numId="15">
    <w:abstractNumId w:val="6"/>
  </w:num>
  <w:num w:numId="16">
    <w:abstractNumId w:val="8"/>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num>
  <w:num w:numId="19">
    <w:abstractNumId w:val="10"/>
    <w:lvlOverride w:ilvl="0">
      <w:startOverride w:val="1"/>
    </w:lvlOverride>
  </w:num>
  <w:num w:numId="20">
    <w:abstractNumId w:val="0"/>
  </w:num>
  <w:num w:numId="21">
    <w:abstractNumId w:val="21"/>
  </w:num>
  <w:num w:numId="22">
    <w:abstractNumId w:val="4"/>
  </w:num>
  <w:num w:numId="23">
    <w:abstractNumId w:val="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96"/>
    <w:link w:val="825"/>
    <w:uiPriority w:val="11"/>
    <w:rPr>
      <w:sz w:val="24"/>
      <w:szCs w:val="24"/>
    </w:rPr>
  </w:style>
  <w:style w:type="character" w:styleId="38">
    <w:name w:val="Quote Char"/>
    <w:link w:val="827"/>
    <w:uiPriority w:val="29"/>
    <w:rPr>
      <w:i/>
    </w:rPr>
  </w:style>
  <w:style w:type="character" w:styleId="40">
    <w:name w:val="Intense Quote Char"/>
    <w:link w:val="829"/>
    <w:uiPriority w:val="30"/>
    <w:rPr>
      <w:i/>
    </w:rPr>
  </w:style>
  <w:style w:type="table" w:styleId="49">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66"/>
    <w:uiPriority w:val="99"/>
    <w:rPr>
      <w:sz w:val="18"/>
    </w:rPr>
  </w:style>
  <w:style w:type="character" w:styleId="178">
    <w:name w:val="Endnote Text Char"/>
    <w:link w:val="969"/>
    <w:uiPriority w:val="99"/>
    <w:rPr>
      <w:sz w:val="20"/>
    </w:rPr>
  </w:style>
  <w:style w:type="paragraph" w:styleId="786" w:default="1">
    <w:name w:val="Normal"/>
    <w:qFormat/>
    <w:pPr>
      <w:jc w:val="both"/>
      <w:widowControl w:val="off"/>
    </w:pPr>
    <w:rPr>
      <w:sz w:val="21"/>
      <w:szCs w:val="24"/>
    </w:rPr>
  </w:style>
  <w:style w:type="paragraph" w:styleId="787">
    <w:name w:val="Heading 1"/>
    <w:basedOn w:val="786"/>
    <w:next w:val="786"/>
    <w:link w:val="799"/>
    <w:uiPriority w:val="99"/>
    <w:qFormat/>
    <w:pPr>
      <w:jc w:val="center"/>
      <w:keepLines/>
      <w:keepNext/>
      <w:spacing w:before="240" w:after="120" w:line="300" w:lineRule="auto"/>
      <w:outlineLvl w:val="0"/>
    </w:pPr>
    <w:rPr>
      <w:rFonts w:ascii="宋体"/>
      <w:b/>
      <w:sz w:val="32"/>
      <w:szCs w:val="20"/>
    </w:rPr>
  </w:style>
  <w:style w:type="paragraph" w:styleId="788">
    <w:name w:val="Heading 2"/>
    <w:basedOn w:val="786"/>
    <w:next w:val="800"/>
    <w:link w:val="802"/>
    <w:uiPriority w:val="99"/>
    <w:qFormat/>
    <w:pPr>
      <w:jc w:val="center"/>
      <w:keepLines/>
      <w:keepNext/>
      <w:spacing w:before="120" w:line="300" w:lineRule="auto"/>
      <w:outlineLvl w:val="1"/>
    </w:pPr>
    <w:rPr>
      <w:rFonts w:ascii="Arial" w:hAnsi="Arial" w:eastAsia="黑体"/>
      <w:b/>
      <w:sz w:val="30"/>
      <w:szCs w:val="20"/>
    </w:rPr>
  </w:style>
  <w:style w:type="paragraph" w:styleId="789">
    <w:name w:val="Heading 3"/>
    <w:basedOn w:val="786"/>
    <w:next w:val="786"/>
    <w:link w:val="803"/>
    <w:uiPriority w:val="99"/>
    <w:qFormat/>
    <w:pPr>
      <w:jc w:val="left"/>
      <w:keepLines/>
      <w:keepNext/>
      <w:spacing w:before="360" w:after="120"/>
      <w:outlineLvl w:val="2"/>
    </w:pPr>
    <w:rPr>
      <w:rFonts w:ascii="宋体"/>
      <w:b/>
      <w:sz w:val="24"/>
      <w:szCs w:val="20"/>
      <w:u w:val="single"/>
    </w:rPr>
  </w:style>
  <w:style w:type="paragraph" w:styleId="790">
    <w:name w:val="Heading 4"/>
    <w:basedOn w:val="786"/>
    <w:next w:val="786"/>
    <w:link w:val="804"/>
    <w:qFormat/>
    <w:pPr>
      <w:keepLines/>
      <w:keepNext/>
      <w:spacing w:before="280" w:after="290" w:line="376" w:lineRule="atLeast"/>
      <w:outlineLvl w:val="3"/>
    </w:pPr>
    <w:rPr>
      <w:rFonts w:ascii="Arial" w:hAnsi="Arial" w:eastAsia="黑体"/>
      <w:b/>
      <w:sz w:val="28"/>
      <w:szCs w:val="20"/>
    </w:rPr>
  </w:style>
  <w:style w:type="paragraph" w:styleId="791">
    <w:name w:val="Heading 5"/>
    <w:basedOn w:val="786"/>
    <w:next w:val="786"/>
    <w:link w:val="805"/>
    <w:qFormat/>
    <w:pPr>
      <w:keepLines/>
      <w:keepNext/>
      <w:spacing w:before="280" w:after="290" w:line="376" w:lineRule="atLeast"/>
      <w:outlineLvl w:val="4"/>
    </w:pPr>
    <w:rPr>
      <w:b/>
      <w:sz w:val="28"/>
      <w:szCs w:val="20"/>
    </w:rPr>
  </w:style>
  <w:style w:type="paragraph" w:styleId="792">
    <w:name w:val="Heading 6"/>
    <w:basedOn w:val="786"/>
    <w:next w:val="786"/>
    <w:link w:val="806"/>
    <w:qFormat/>
    <w:pPr>
      <w:keepLines/>
      <w:keepNext/>
      <w:spacing w:before="240" w:after="64" w:line="320" w:lineRule="atLeast"/>
      <w:outlineLvl w:val="5"/>
    </w:pPr>
    <w:rPr>
      <w:rFonts w:ascii="Arial" w:hAnsi="Arial" w:eastAsia="黑体"/>
      <w:b/>
      <w:sz w:val="24"/>
      <w:szCs w:val="20"/>
    </w:rPr>
  </w:style>
  <w:style w:type="paragraph" w:styleId="793">
    <w:name w:val="Heading 7"/>
    <w:basedOn w:val="786"/>
    <w:next w:val="786"/>
    <w:link w:val="807"/>
    <w:qFormat/>
    <w:pPr>
      <w:keepLines/>
      <w:keepNext/>
      <w:spacing w:before="240" w:after="64" w:line="320" w:lineRule="atLeast"/>
      <w:outlineLvl w:val="6"/>
    </w:pPr>
    <w:rPr>
      <w:b/>
      <w:sz w:val="24"/>
      <w:szCs w:val="20"/>
    </w:rPr>
  </w:style>
  <w:style w:type="paragraph" w:styleId="794">
    <w:name w:val="Heading 8"/>
    <w:basedOn w:val="786"/>
    <w:next w:val="786"/>
    <w:link w:val="808"/>
    <w:qFormat/>
    <w:pPr>
      <w:keepLines/>
      <w:keepNext/>
      <w:spacing w:before="240" w:after="64" w:line="320" w:lineRule="atLeast"/>
      <w:outlineLvl w:val="7"/>
    </w:pPr>
    <w:rPr>
      <w:rFonts w:ascii="Arial" w:hAnsi="Arial" w:eastAsia="黑体"/>
      <w:sz w:val="24"/>
      <w:szCs w:val="20"/>
    </w:rPr>
  </w:style>
  <w:style w:type="paragraph" w:styleId="795">
    <w:name w:val="Heading 9"/>
    <w:basedOn w:val="786"/>
    <w:next w:val="786"/>
    <w:link w:val="809"/>
    <w:qFormat/>
    <w:pPr>
      <w:keepLines/>
      <w:keepNext/>
      <w:spacing w:before="240" w:after="64" w:line="320" w:lineRule="atLeast"/>
      <w:outlineLvl w:val="8"/>
    </w:pPr>
    <w:rPr>
      <w:rFonts w:ascii="Arial" w:hAnsi="Arial" w:eastAsia="黑体"/>
      <w:szCs w:val="20"/>
    </w:rPr>
  </w:style>
  <w:style w:type="character" w:styleId="796" w:default="1">
    <w:name w:val="Default Paragraph Font"/>
    <w:uiPriority w:val="1"/>
    <w:unhideWhenUsed/>
  </w:style>
  <w:style w:type="table" w:styleId="797" w:default="1">
    <w:name w:val="Normal Table"/>
    <w:uiPriority w:val="99"/>
    <w:semiHidden/>
    <w:unhideWhenUsed/>
    <w:tblPr>
      <w:tblInd w:w="0" w:type="dxa"/>
      <w:tblCellMar>
        <w:left w:w="108" w:type="dxa"/>
        <w:top w:w="0" w:type="dxa"/>
        <w:right w:w="108" w:type="dxa"/>
        <w:bottom w:w="0" w:type="dxa"/>
      </w:tblCellMar>
    </w:tblPr>
  </w:style>
  <w:style w:type="numbering" w:styleId="798" w:default="1">
    <w:name w:val="No List"/>
    <w:uiPriority w:val="99"/>
    <w:semiHidden/>
    <w:unhideWhenUsed/>
  </w:style>
  <w:style w:type="character" w:styleId="799" w:customStyle="1">
    <w:name w:val="标题 1 字符"/>
    <w:link w:val="787"/>
    <w:uiPriority w:val="99"/>
    <w:qFormat/>
    <w:rPr>
      <w:rFonts w:ascii="宋体"/>
      <w:b/>
      <w:sz w:val="32"/>
    </w:rPr>
  </w:style>
  <w:style w:type="paragraph" w:styleId="800">
    <w:name w:val="Normal Indent"/>
    <w:basedOn w:val="786"/>
    <w:link w:val="801"/>
    <w:uiPriority w:val="99"/>
    <w:qFormat/>
    <w:pPr>
      <w:ind w:firstLine="420"/>
      <w:jc w:val="left"/>
    </w:pPr>
    <w:rPr>
      <w:rFonts w:ascii="宋体"/>
      <w:sz w:val="24"/>
    </w:rPr>
  </w:style>
  <w:style w:type="character" w:styleId="801" w:customStyle="1">
    <w:name w:val="正文缩进 字符"/>
    <w:link w:val="800"/>
    <w:qFormat/>
    <w:rPr>
      <w:rFonts w:ascii="宋体" w:eastAsia="宋体"/>
      <w:sz w:val="24"/>
      <w:szCs w:val="24"/>
      <w:lang w:val="en-US" w:eastAsia="zh-CN" w:bidi="ar-SA"/>
    </w:rPr>
  </w:style>
  <w:style w:type="character" w:styleId="802" w:customStyle="1">
    <w:name w:val="标题 2 字符"/>
    <w:link w:val="788"/>
    <w:qFormat/>
    <w:rPr>
      <w:rFonts w:ascii="Arial" w:hAnsi="Arial" w:eastAsia="黑体"/>
      <w:b/>
      <w:sz w:val="30"/>
      <w:lang w:val="en-US" w:eastAsia="zh-CN" w:bidi="ar-SA"/>
    </w:rPr>
  </w:style>
  <w:style w:type="character" w:styleId="803" w:customStyle="1">
    <w:name w:val="标题 3 字符"/>
    <w:link w:val="789"/>
    <w:uiPriority w:val="99"/>
    <w:qFormat/>
    <w:rPr>
      <w:rFonts w:ascii="宋体" w:eastAsia="宋体"/>
      <w:b/>
      <w:sz w:val="24"/>
      <w:u w:val="single"/>
      <w:lang w:val="en-US" w:eastAsia="zh-CN" w:bidi="ar-SA"/>
    </w:rPr>
  </w:style>
  <w:style w:type="character" w:styleId="804" w:customStyle="1">
    <w:name w:val="标题 4 字符"/>
    <w:link w:val="790"/>
    <w:qFormat/>
    <w:rPr>
      <w:rFonts w:ascii="Arial" w:hAnsi="Arial" w:eastAsia="黑体"/>
      <w:b/>
      <w:sz w:val="28"/>
    </w:rPr>
  </w:style>
  <w:style w:type="character" w:styleId="805" w:customStyle="1">
    <w:name w:val="标题 5 字符"/>
    <w:link w:val="791"/>
    <w:qFormat/>
    <w:rPr>
      <w:b/>
      <w:sz w:val="28"/>
    </w:rPr>
  </w:style>
  <w:style w:type="character" w:styleId="806" w:customStyle="1">
    <w:name w:val="标题 6 字符"/>
    <w:link w:val="792"/>
    <w:qFormat/>
    <w:rPr>
      <w:rFonts w:ascii="Arial" w:hAnsi="Arial" w:eastAsia="黑体"/>
      <w:b/>
      <w:sz w:val="24"/>
    </w:rPr>
  </w:style>
  <w:style w:type="character" w:styleId="807" w:customStyle="1">
    <w:name w:val="标题 7 字符"/>
    <w:link w:val="793"/>
    <w:qFormat/>
    <w:rPr>
      <w:b/>
      <w:sz w:val="24"/>
    </w:rPr>
  </w:style>
  <w:style w:type="character" w:styleId="808" w:customStyle="1">
    <w:name w:val="标题 8 字符"/>
    <w:link w:val="794"/>
    <w:qFormat/>
    <w:rPr>
      <w:rFonts w:ascii="Arial" w:hAnsi="Arial" w:eastAsia="黑体"/>
      <w:sz w:val="24"/>
    </w:rPr>
  </w:style>
  <w:style w:type="character" w:styleId="809" w:customStyle="1">
    <w:name w:val="标题 9 字符"/>
    <w:link w:val="795"/>
    <w:qFormat/>
    <w:rPr>
      <w:rFonts w:ascii="Arial" w:hAnsi="Arial" w:eastAsia="黑体"/>
      <w:sz w:val="21"/>
    </w:rPr>
  </w:style>
  <w:style w:type="character" w:styleId="810" w:customStyle="1">
    <w:name w:val="Heading 1 Char"/>
    <w:uiPriority w:val="9"/>
    <w:rPr>
      <w:rFonts w:ascii="Arial" w:hAnsi="Arial" w:eastAsia="Arial" w:cs="Arial"/>
      <w:sz w:val="40"/>
      <w:szCs w:val="40"/>
    </w:rPr>
  </w:style>
  <w:style w:type="character" w:styleId="811" w:customStyle="1">
    <w:name w:val="Heading 2 Char"/>
    <w:uiPriority w:val="9"/>
    <w:rPr>
      <w:rFonts w:ascii="Arial" w:hAnsi="Arial" w:eastAsia="Arial" w:cs="Arial"/>
      <w:sz w:val="34"/>
    </w:rPr>
  </w:style>
  <w:style w:type="character" w:styleId="812" w:customStyle="1">
    <w:name w:val="Heading 3 Char"/>
    <w:uiPriority w:val="9"/>
    <w:rPr>
      <w:rFonts w:ascii="Arial" w:hAnsi="Arial" w:eastAsia="Arial" w:cs="Arial"/>
      <w:sz w:val="30"/>
      <w:szCs w:val="30"/>
    </w:rPr>
  </w:style>
  <w:style w:type="character" w:styleId="813" w:customStyle="1">
    <w:name w:val="Heading 4 Char"/>
    <w:uiPriority w:val="9"/>
    <w:rPr>
      <w:rFonts w:ascii="Arial" w:hAnsi="Arial" w:eastAsia="Arial" w:cs="Arial"/>
      <w:b/>
      <w:bCs/>
      <w:sz w:val="26"/>
      <w:szCs w:val="26"/>
    </w:rPr>
  </w:style>
  <w:style w:type="character" w:styleId="814" w:customStyle="1">
    <w:name w:val="Heading 5 Char"/>
    <w:uiPriority w:val="9"/>
    <w:rPr>
      <w:rFonts w:ascii="Arial" w:hAnsi="Arial" w:eastAsia="Arial" w:cs="Arial"/>
      <w:b/>
      <w:bCs/>
      <w:sz w:val="24"/>
      <w:szCs w:val="24"/>
    </w:rPr>
  </w:style>
  <w:style w:type="character" w:styleId="815" w:customStyle="1">
    <w:name w:val="Heading 6 Char"/>
    <w:uiPriority w:val="9"/>
    <w:rPr>
      <w:rFonts w:ascii="Arial" w:hAnsi="Arial" w:eastAsia="Arial" w:cs="Arial"/>
      <w:b/>
      <w:bCs/>
      <w:sz w:val="22"/>
      <w:szCs w:val="22"/>
    </w:rPr>
  </w:style>
  <w:style w:type="character" w:styleId="816" w:customStyle="1">
    <w:name w:val="Heading 7 Char"/>
    <w:uiPriority w:val="9"/>
    <w:rPr>
      <w:rFonts w:ascii="Arial" w:hAnsi="Arial" w:eastAsia="Arial" w:cs="Arial"/>
      <w:b/>
      <w:bCs/>
      <w:i/>
      <w:iCs/>
      <w:sz w:val="22"/>
      <w:szCs w:val="22"/>
    </w:rPr>
  </w:style>
  <w:style w:type="character" w:styleId="817" w:customStyle="1">
    <w:name w:val="Heading 8 Char"/>
    <w:uiPriority w:val="9"/>
    <w:rPr>
      <w:rFonts w:ascii="Arial" w:hAnsi="Arial" w:eastAsia="Arial" w:cs="Arial"/>
      <w:i/>
      <w:iCs/>
      <w:sz w:val="22"/>
      <w:szCs w:val="22"/>
    </w:rPr>
  </w:style>
  <w:style w:type="character" w:styleId="818" w:customStyle="1">
    <w:name w:val="Heading 9 Char"/>
    <w:uiPriority w:val="9"/>
    <w:rPr>
      <w:rFonts w:ascii="Arial" w:hAnsi="Arial" w:eastAsia="Arial" w:cs="Arial"/>
      <w:i/>
      <w:iCs/>
      <w:sz w:val="21"/>
      <w:szCs w:val="21"/>
    </w:rPr>
  </w:style>
  <w:style w:type="paragraph" w:styleId="819">
    <w:name w:val="List Paragraph"/>
    <w:basedOn w:val="786"/>
    <w:link w:val="820"/>
    <w:uiPriority w:val="34"/>
    <w:qFormat/>
    <w:pPr>
      <w:ind w:firstLine="420"/>
    </w:pPr>
    <w:rPr>
      <w:rFonts w:ascii="Calibri" w:hAnsi="Calibri"/>
      <w:szCs w:val="22"/>
    </w:rPr>
  </w:style>
  <w:style w:type="character" w:styleId="820" w:customStyle="1">
    <w:name w:val="列表段落 字符1"/>
    <w:link w:val="819"/>
    <w:uiPriority w:val="34"/>
    <w:qFormat/>
    <w:rPr>
      <w:rFonts w:ascii="Calibri" w:hAnsi="Calibri" w:eastAsia="宋体"/>
      <w:sz w:val="21"/>
      <w:szCs w:val="22"/>
      <w:lang w:val="en-US" w:eastAsia="zh-CN" w:bidi="ar-SA"/>
    </w:rPr>
  </w:style>
  <w:style w:type="paragraph" w:styleId="821">
    <w:name w:val="No Spacing"/>
    <w:qFormat/>
    <w:pPr>
      <w:jc w:val="both"/>
      <w:widowControl w:val="off"/>
    </w:pPr>
    <w:rPr>
      <w:sz w:val="21"/>
      <w:szCs w:val="24"/>
    </w:rPr>
  </w:style>
  <w:style w:type="paragraph" w:styleId="822">
    <w:name w:val="Title"/>
    <w:basedOn w:val="786"/>
    <w:link w:val="823"/>
    <w:qFormat/>
    <w:pPr>
      <w:jc w:val="center"/>
      <w:outlineLvl w:val="0"/>
    </w:pPr>
    <w:rPr>
      <w:b/>
      <w:sz w:val="32"/>
      <w:szCs w:val="20"/>
    </w:rPr>
  </w:style>
  <w:style w:type="character" w:styleId="823" w:customStyle="1">
    <w:name w:val="标题 字符"/>
    <w:link w:val="822"/>
    <w:qFormat/>
    <w:rPr>
      <w:b/>
      <w:sz w:val="32"/>
    </w:rPr>
  </w:style>
  <w:style w:type="character" w:styleId="824" w:customStyle="1">
    <w:name w:val="Title Char"/>
    <w:uiPriority w:val="10"/>
    <w:rPr>
      <w:sz w:val="48"/>
      <w:szCs w:val="48"/>
    </w:rPr>
  </w:style>
  <w:style w:type="paragraph" w:styleId="825">
    <w:name w:val="Subtitle"/>
    <w:basedOn w:val="786"/>
    <w:next w:val="786"/>
    <w:link w:val="826"/>
    <w:uiPriority w:val="11"/>
    <w:qFormat/>
    <w:pPr>
      <w:spacing w:before="200" w:after="200"/>
    </w:pPr>
    <w:rPr>
      <w:sz w:val="24"/>
    </w:rPr>
  </w:style>
  <w:style w:type="character" w:styleId="826" w:customStyle="1">
    <w:name w:val="副标题 字符"/>
    <w:link w:val="825"/>
    <w:uiPriority w:val="11"/>
    <w:rPr>
      <w:sz w:val="24"/>
      <w:szCs w:val="24"/>
    </w:rPr>
  </w:style>
  <w:style w:type="paragraph" w:styleId="827">
    <w:name w:val="Quote"/>
    <w:basedOn w:val="786"/>
    <w:next w:val="786"/>
    <w:link w:val="828"/>
    <w:uiPriority w:val="29"/>
    <w:qFormat/>
    <w:pPr>
      <w:ind w:left="720" w:right="720"/>
    </w:pPr>
    <w:rPr>
      <w:i/>
    </w:rPr>
  </w:style>
  <w:style w:type="character" w:styleId="828" w:customStyle="1">
    <w:name w:val="引用 字符"/>
    <w:link w:val="827"/>
    <w:uiPriority w:val="29"/>
    <w:rPr>
      <w:i/>
    </w:rPr>
  </w:style>
  <w:style w:type="paragraph" w:styleId="829">
    <w:name w:val="Intense Quote"/>
    <w:basedOn w:val="786"/>
    <w:next w:val="786"/>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rPr>
      <w:i/>
    </w:rPr>
  </w:style>
  <w:style w:type="paragraph" w:styleId="831">
    <w:name w:val="Header"/>
    <w:basedOn w:val="786"/>
    <w:link w:val="832"/>
    <w:uiPriority w:val="99"/>
    <w:qFormat/>
    <w:pPr>
      <w:jc w:val="center"/>
      <w:tabs>
        <w:tab w:val="center" w:pos="4153" w:leader="none"/>
        <w:tab w:val="right" w:pos="8306" w:leader="none"/>
      </w:tabs>
      <w:pBdr>
        <w:bottom w:val="single" w:color="000000" w:sz="6" w:space="1"/>
      </w:pBdr>
    </w:pPr>
    <w:rPr>
      <w:sz w:val="18"/>
      <w:szCs w:val="18"/>
    </w:rPr>
  </w:style>
  <w:style w:type="character" w:styleId="832" w:customStyle="1">
    <w:name w:val="页眉 字符"/>
    <w:link w:val="831"/>
    <w:qFormat/>
    <w:rPr>
      <w:rFonts w:eastAsia="宋体"/>
      <w:sz w:val="18"/>
      <w:szCs w:val="18"/>
      <w:lang w:val="en-US" w:eastAsia="zh-CN" w:bidi="ar-SA"/>
    </w:rPr>
  </w:style>
  <w:style w:type="character" w:styleId="833" w:customStyle="1">
    <w:name w:val="Header Char"/>
    <w:uiPriority w:val="99"/>
  </w:style>
  <w:style w:type="paragraph" w:styleId="834">
    <w:name w:val="Footer"/>
    <w:basedOn w:val="786"/>
    <w:link w:val="835"/>
    <w:uiPriority w:val="99"/>
    <w:qFormat/>
    <w:pPr>
      <w:jc w:val="left"/>
      <w:tabs>
        <w:tab w:val="center" w:pos="4153" w:leader="none"/>
        <w:tab w:val="right" w:pos="8306" w:leader="none"/>
      </w:tabs>
    </w:pPr>
    <w:rPr>
      <w:rFonts w:ascii="宋体"/>
      <w:sz w:val="18"/>
      <w:szCs w:val="20"/>
    </w:rPr>
  </w:style>
  <w:style w:type="character" w:styleId="835" w:customStyle="1">
    <w:name w:val="页脚 字符"/>
    <w:link w:val="834"/>
    <w:uiPriority w:val="99"/>
    <w:qFormat/>
    <w:rPr>
      <w:rFonts w:ascii="宋体" w:eastAsia="宋体"/>
      <w:sz w:val="18"/>
      <w:lang w:val="en-US" w:eastAsia="zh-CN" w:bidi="ar-SA"/>
    </w:rPr>
  </w:style>
  <w:style w:type="character" w:styleId="836" w:customStyle="1">
    <w:name w:val="Footer Char"/>
    <w:uiPriority w:val="99"/>
  </w:style>
  <w:style w:type="paragraph" w:styleId="837">
    <w:name w:val="Caption"/>
    <w:basedOn w:val="786"/>
    <w:next w:val="786"/>
    <w:qFormat/>
    <w:pPr>
      <w:spacing w:line="480" w:lineRule="auto"/>
    </w:pPr>
    <w:rPr>
      <w:rFonts w:ascii="华文中宋" w:hAnsi="华文中宋" w:eastAsia="华文中宋"/>
      <w:sz w:val="36"/>
      <w:szCs w:val="20"/>
    </w:rPr>
  </w:style>
  <w:style w:type="character" w:styleId="838" w:customStyle="1">
    <w:name w:val="Caption Char"/>
    <w:uiPriority w:val="99"/>
  </w:style>
  <w:style w:type="table" w:styleId="839">
    <w:name w:val="Table Grid"/>
    <w:basedOn w:val="797"/>
    <w:uiPriority w:val="39"/>
    <w:qFormat/>
    <w:tblPr/>
  </w:style>
  <w:style w:type="table" w:styleId="84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1"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8"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8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9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9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9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9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9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95"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0"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7"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3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3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4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4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4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4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4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name w:val="Hyperlink"/>
    <w:uiPriority w:val="99"/>
    <w:qFormat/>
    <w:rPr>
      <w:color w:val="333333"/>
      <w:u w:val="none"/>
    </w:rPr>
  </w:style>
  <w:style w:type="paragraph" w:styleId="966">
    <w:name w:val="footnote text"/>
    <w:basedOn w:val="786"/>
    <w:link w:val="967"/>
    <w:uiPriority w:val="99"/>
    <w:semiHidden/>
    <w:unhideWhenUsed/>
    <w:pPr>
      <w:spacing w:after="40"/>
    </w:pPr>
    <w:rPr>
      <w:sz w:val="18"/>
    </w:rPr>
  </w:style>
  <w:style w:type="character" w:styleId="967" w:customStyle="1">
    <w:name w:val="脚注文本 字符"/>
    <w:link w:val="966"/>
    <w:uiPriority w:val="99"/>
    <w:rPr>
      <w:sz w:val="18"/>
    </w:rPr>
  </w:style>
  <w:style w:type="character" w:styleId="968">
    <w:name w:val="footnote reference"/>
    <w:uiPriority w:val="99"/>
    <w:unhideWhenUsed/>
    <w:rPr>
      <w:vertAlign w:val="superscript"/>
    </w:rPr>
  </w:style>
  <w:style w:type="paragraph" w:styleId="969">
    <w:name w:val="endnote text"/>
    <w:basedOn w:val="786"/>
    <w:link w:val="970"/>
    <w:uiPriority w:val="99"/>
    <w:semiHidden/>
    <w:unhideWhenUsed/>
    <w:rPr>
      <w:sz w:val="20"/>
    </w:rPr>
  </w:style>
  <w:style w:type="character" w:styleId="970" w:customStyle="1">
    <w:name w:val="尾注文本 字符"/>
    <w:link w:val="969"/>
    <w:uiPriority w:val="99"/>
    <w:rPr>
      <w:sz w:val="20"/>
    </w:rPr>
  </w:style>
  <w:style w:type="character" w:styleId="971">
    <w:name w:val="endnote reference"/>
    <w:uiPriority w:val="99"/>
    <w:semiHidden/>
    <w:unhideWhenUsed/>
    <w:rPr>
      <w:vertAlign w:val="superscript"/>
    </w:rPr>
  </w:style>
  <w:style w:type="paragraph" w:styleId="972">
    <w:name w:val="toc 1"/>
    <w:basedOn w:val="786"/>
    <w:next w:val="786"/>
    <w:uiPriority w:val="99"/>
    <w:qFormat/>
    <w:pPr>
      <w:spacing w:line="300" w:lineRule="auto"/>
      <w:tabs>
        <w:tab w:val="left" w:pos="1050" w:leader="none"/>
        <w:tab w:val="right" w:pos="8937" w:leader="dot"/>
      </w:tabs>
    </w:pPr>
    <w:rPr>
      <w:rFonts w:ascii="宋体" w:hAnsi="宋体"/>
      <w:b/>
      <w:sz w:val="24"/>
    </w:rPr>
  </w:style>
  <w:style w:type="paragraph" w:styleId="973">
    <w:name w:val="toc 2"/>
    <w:basedOn w:val="786"/>
    <w:next w:val="786"/>
    <w:uiPriority w:val="99"/>
    <w:qFormat/>
    <w:pPr>
      <w:ind w:left="420"/>
      <w:spacing w:line="312" w:lineRule="auto"/>
      <w:tabs>
        <w:tab w:val="right" w:pos="8937" w:leader="dot"/>
      </w:tabs>
    </w:pPr>
  </w:style>
  <w:style w:type="paragraph" w:styleId="974">
    <w:name w:val="toc 3"/>
    <w:basedOn w:val="786"/>
    <w:next w:val="786"/>
    <w:uiPriority w:val="99"/>
    <w:qFormat/>
    <w:pPr>
      <w:ind w:left="840"/>
    </w:pPr>
  </w:style>
  <w:style w:type="paragraph" w:styleId="975">
    <w:name w:val="toc 4"/>
    <w:basedOn w:val="786"/>
    <w:next w:val="786"/>
    <w:uiPriority w:val="99"/>
    <w:qFormat/>
    <w:pPr>
      <w:ind w:left="1260"/>
    </w:pPr>
  </w:style>
  <w:style w:type="paragraph" w:styleId="976">
    <w:name w:val="toc 5"/>
    <w:basedOn w:val="786"/>
    <w:next w:val="786"/>
    <w:uiPriority w:val="99"/>
    <w:qFormat/>
    <w:pPr>
      <w:ind w:left="1680"/>
    </w:pPr>
  </w:style>
  <w:style w:type="paragraph" w:styleId="977">
    <w:name w:val="toc 6"/>
    <w:basedOn w:val="786"/>
    <w:next w:val="786"/>
    <w:uiPriority w:val="99"/>
    <w:qFormat/>
    <w:pPr>
      <w:ind w:left="2100"/>
    </w:pPr>
  </w:style>
  <w:style w:type="paragraph" w:styleId="978">
    <w:name w:val="toc 7"/>
    <w:basedOn w:val="786"/>
    <w:next w:val="786"/>
    <w:uiPriority w:val="99"/>
    <w:qFormat/>
    <w:pPr>
      <w:ind w:left="2520"/>
    </w:pPr>
  </w:style>
  <w:style w:type="paragraph" w:styleId="979">
    <w:name w:val="toc 8"/>
    <w:basedOn w:val="786"/>
    <w:next w:val="786"/>
    <w:uiPriority w:val="99"/>
    <w:qFormat/>
    <w:pPr>
      <w:ind w:left="2940"/>
    </w:pPr>
  </w:style>
  <w:style w:type="paragraph" w:styleId="980">
    <w:name w:val="toc 9"/>
    <w:basedOn w:val="786"/>
    <w:next w:val="786"/>
    <w:uiPriority w:val="99"/>
    <w:qFormat/>
    <w:pPr>
      <w:ind w:left="3360"/>
    </w:pPr>
  </w:style>
  <w:style w:type="paragraph" w:styleId="981">
    <w:name w:val="TOC Heading"/>
    <w:uiPriority w:val="39"/>
    <w:unhideWhenUsed/>
  </w:style>
  <w:style w:type="paragraph" w:styleId="982">
    <w:name w:val="table of figures"/>
    <w:basedOn w:val="786"/>
    <w:next w:val="786"/>
    <w:uiPriority w:val="99"/>
    <w:unhideWhenUsed/>
  </w:style>
  <w:style w:type="paragraph" w:styleId="983">
    <w:name w:val="Document Map"/>
    <w:basedOn w:val="786"/>
    <w:link w:val="984"/>
    <w:qFormat/>
    <w:pPr>
      <w:shd w:val="clear" w:color="auto" w:fill="000080"/>
    </w:pPr>
  </w:style>
  <w:style w:type="character" w:styleId="984" w:customStyle="1">
    <w:name w:val="文档结构图 字符"/>
    <w:link w:val="983"/>
    <w:qFormat/>
    <w:rPr>
      <w:sz w:val="21"/>
      <w:szCs w:val="24"/>
      <w:shd w:val="clear" w:color="auto" w:fill="000080"/>
    </w:rPr>
  </w:style>
  <w:style w:type="paragraph" w:styleId="985">
    <w:name w:val="annotation text"/>
    <w:basedOn w:val="786"/>
    <w:link w:val="986"/>
    <w:uiPriority w:val="99"/>
    <w:qFormat/>
    <w:pPr>
      <w:jc w:val="left"/>
    </w:pPr>
  </w:style>
  <w:style w:type="character" w:styleId="986" w:customStyle="1">
    <w:name w:val="批注文字 字符2"/>
    <w:link w:val="985"/>
    <w:uiPriority w:val="99"/>
    <w:qFormat/>
    <w:rPr>
      <w:sz w:val="21"/>
      <w:szCs w:val="24"/>
    </w:rPr>
  </w:style>
  <w:style w:type="paragraph" w:styleId="987">
    <w:name w:val="Body Text 3"/>
    <w:basedOn w:val="786"/>
    <w:link w:val="988"/>
    <w:qFormat/>
    <w:pPr>
      <w:spacing w:after="120"/>
    </w:pPr>
    <w:rPr>
      <w:sz w:val="16"/>
      <w:szCs w:val="16"/>
    </w:rPr>
  </w:style>
  <w:style w:type="character" w:styleId="988" w:customStyle="1">
    <w:name w:val="正文文本 3 字符"/>
    <w:link w:val="987"/>
    <w:qFormat/>
    <w:rPr>
      <w:sz w:val="16"/>
      <w:szCs w:val="16"/>
    </w:rPr>
  </w:style>
  <w:style w:type="paragraph" w:styleId="989">
    <w:name w:val="Body Text"/>
    <w:basedOn w:val="786"/>
    <w:link w:val="990"/>
    <w:qFormat/>
    <w:pPr>
      <w:spacing w:before="120" w:line="22" w:lineRule="atLeast"/>
      <w:tabs>
        <w:tab w:val="left" w:pos="567" w:leader="none"/>
      </w:tabs>
    </w:pPr>
    <w:rPr>
      <w:rFonts w:ascii="宋体" w:hAnsi="宋体"/>
      <w:sz w:val="24"/>
    </w:rPr>
  </w:style>
  <w:style w:type="character" w:styleId="990" w:customStyle="1">
    <w:name w:val="正文文本 字符"/>
    <w:link w:val="989"/>
    <w:qFormat/>
    <w:rPr>
      <w:rFonts w:ascii="宋体" w:hAnsi="宋体"/>
      <w:sz w:val="24"/>
      <w:szCs w:val="24"/>
    </w:rPr>
  </w:style>
  <w:style w:type="paragraph" w:styleId="991">
    <w:name w:val="Body Text Indent"/>
    <w:basedOn w:val="786"/>
    <w:link w:val="992"/>
    <w:qFormat/>
    <w:pPr>
      <w:ind w:firstLine="570"/>
      <w:spacing w:line="360" w:lineRule="auto"/>
    </w:pPr>
    <w:rPr>
      <w:sz w:val="24"/>
    </w:rPr>
  </w:style>
  <w:style w:type="character" w:styleId="992" w:customStyle="1">
    <w:name w:val="正文文本缩进 字符"/>
    <w:link w:val="991"/>
    <w:qFormat/>
    <w:rPr>
      <w:rFonts w:eastAsia="宋体"/>
      <w:sz w:val="24"/>
      <w:szCs w:val="24"/>
      <w:lang w:val="en-US" w:eastAsia="zh-CN" w:bidi="ar-SA"/>
    </w:rPr>
  </w:style>
  <w:style w:type="paragraph" w:styleId="993">
    <w:name w:val="List 2"/>
    <w:basedOn w:val="786"/>
    <w:qFormat/>
    <w:pPr>
      <w:ind w:left="100" w:hanging="200"/>
    </w:pPr>
  </w:style>
  <w:style w:type="paragraph" w:styleId="994">
    <w:name w:val="Block Text"/>
    <w:basedOn w:val="786"/>
    <w:qFormat/>
    <w:pPr>
      <w:ind w:left="480" w:right="-341" w:firstLine="513"/>
      <w:widowControl/>
    </w:pPr>
    <w:rPr>
      <w:sz w:val="24"/>
      <w:szCs w:val="20"/>
    </w:rPr>
  </w:style>
  <w:style w:type="paragraph" w:styleId="995">
    <w:name w:val="Plain Text"/>
    <w:basedOn w:val="786"/>
    <w:link w:val="996"/>
    <w:uiPriority w:val="99"/>
    <w:qFormat/>
    <w:rPr>
      <w:rFonts w:hint="eastAsia" w:ascii="宋体" w:hAnsi="Courier New"/>
      <w:szCs w:val="20"/>
    </w:rPr>
  </w:style>
  <w:style w:type="character" w:styleId="996" w:customStyle="1">
    <w:name w:val="纯文本 字符2"/>
    <w:link w:val="995"/>
    <w:uiPriority w:val="99"/>
    <w:qFormat/>
    <w:rPr>
      <w:rFonts w:hint="eastAsia" w:ascii="宋体" w:hAnsi="Courier New" w:eastAsia="宋体" w:cs="宋体"/>
      <w:sz w:val="21"/>
    </w:rPr>
  </w:style>
  <w:style w:type="paragraph" w:styleId="997">
    <w:name w:val="Date"/>
    <w:basedOn w:val="786"/>
    <w:next w:val="786"/>
    <w:link w:val="998"/>
    <w:uiPriority w:val="99"/>
    <w:qFormat/>
    <w:pPr>
      <w:ind w:left="100"/>
    </w:pPr>
    <w:rPr>
      <w:rFonts w:ascii="仿宋_GB2312" w:hAnsi="宋体" w:eastAsia="仿宋_GB2312"/>
      <w:color w:val="000000"/>
      <w:sz w:val="24"/>
    </w:rPr>
  </w:style>
  <w:style w:type="character" w:styleId="998" w:customStyle="1">
    <w:name w:val="日期 字符"/>
    <w:link w:val="997"/>
    <w:uiPriority w:val="99"/>
    <w:qFormat/>
    <w:rPr>
      <w:rFonts w:ascii="仿宋_GB2312" w:hAnsi="宋体" w:eastAsia="仿宋_GB2312"/>
      <w:color w:val="000000"/>
      <w:sz w:val="24"/>
      <w:szCs w:val="24"/>
    </w:rPr>
  </w:style>
  <w:style w:type="paragraph" w:styleId="999">
    <w:name w:val="Body Text Indent 2"/>
    <w:basedOn w:val="786"/>
    <w:link w:val="1000"/>
    <w:qFormat/>
    <w:pPr>
      <w:ind w:firstLine="480"/>
    </w:pPr>
    <w:rPr>
      <w:rFonts w:ascii="仿宋_GB2312" w:eastAsia="仿宋_GB2312"/>
      <w:sz w:val="24"/>
    </w:rPr>
  </w:style>
  <w:style w:type="character" w:styleId="1000" w:customStyle="1">
    <w:name w:val="正文文本缩进 2 字符"/>
    <w:link w:val="999"/>
    <w:qFormat/>
    <w:rPr>
      <w:rFonts w:ascii="仿宋_GB2312" w:eastAsia="仿宋_GB2312"/>
      <w:sz w:val="24"/>
      <w:szCs w:val="24"/>
    </w:rPr>
  </w:style>
  <w:style w:type="paragraph" w:styleId="1001">
    <w:name w:val="Balloon Text"/>
    <w:basedOn w:val="786"/>
    <w:link w:val="1002"/>
    <w:uiPriority w:val="99"/>
    <w:qFormat/>
    <w:rPr>
      <w:sz w:val="18"/>
      <w:szCs w:val="18"/>
    </w:rPr>
  </w:style>
  <w:style w:type="character" w:styleId="1002" w:customStyle="1">
    <w:name w:val="批注框文本 字符"/>
    <w:link w:val="1001"/>
    <w:uiPriority w:val="99"/>
    <w:qFormat/>
    <w:rPr>
      <w:sz w:val="18"/>
      <w:szCs w:val="18"/>
    </w:rPr>
  </w:style>
  <w:style w:type="paragraph" w:styleId="1003">
    <w:name w:val="Body Text Indent 3"/>
    <w:basedOn w:val="786"/>
    <w:link w:val="1004"/>
    <w:qFormat/>
    <w:pPr>
      <w:ind w:left="720" w:firstLine="480"/>
      <w:jc w:val="left"/>
      <w:spacing w:before="120" w:line="22" w:lineRule="atLeast"/>
    </w:pPr>
    <w:rPr>
      <w:rFonts w:ascii="宋体"/>
      <w:sz w:val="24"/>
      <w:szCs w:val="20"/>
    </w:rPr>
  </w:style>
  <w:style w:type="character" w:styleId="1004" w:customStyle="1">
    <w:name w:val="正文文本缩进 3 字符"/>
    <w:link w:val="1003"/>
    <w:qFormat/>
    <w:rPr>
      <w:rFonts w:ascii="宋体"/>
      <w:sz w:val="24"/>
    </w:rPr>
  </w:style>
  <w:style w:type="paragraph" w:styleId="1005">
    <w:name w:val="HTML Preformatted"/>
    <w:basedOn w:val="786"/>
    <w:link w:val="10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6" w:customStyle="1">
    <w:name w:val="HTML 预设格式 字符"/>
    <w:link w:val="1005"/>
    <w:qFormat/>
    <w:rPr>
      <w:rFonts w:ascii="宋体" w:hAnsi="宋体" w:cs="宋体"/>
      <w:sz w:val="24"/>
      <w:szCs w:val="24"/>
    </w:rPr>
  </w:style>
  <w:style w:type="paragraph" w:styleId="1007">
    <w:name w:val="Normal (Web)"/>
    <w:basedOn w:val="786"/>
    <w:uiPriority w:val="99"/>
    <w:unhideWhenUsed/>
    <w:qFormat/>
    <w:pPr>
      <w:jc w:val="left"/>
      <w:spacing w:before="100" w:beforeAutospacing="1" w:after="100" w:afterAutospacing="1"/>
      <w:widowControl/>
    </w:pPr>
    <w:rPr>
      <w:rFonts w:ascii="宋体" w:hAnsi="宋体" w:cs="宋体"/>
      <w:sz w:val="24"/>
    </w:rPr>
  </w:style>
  <w:style w:type="paragraph" w:styleId="1008">
    <w:name w:val="index 1"/>
    <w:basedOn w:val="786"/>
    <w:next w:val="786"/>
    <w:qFormat/>
    <w:rPr>
      <w:szCs w:val="20"/>
    </w:rPr>
  </w:style>
  <w:style w:type="paragraph" w:styleId="1009">
    <w:name w:val="index 2"/>
    <w:basedOn w:val="786"/>
    <w:next w:val="786"/>
    <w:uiPriority w:val="99"/>
    <w:qFormat/>
    <w:pPr>
      <w:ind w:left="200"/>
    </w:pPr>
    <w:rPr>
      <w:szCs w:val="20"/>
    </w:rPr>
  </w:style>
  <w:style w:type="paragraph" w:styleId="1010">
    <w:name w:val="annotation subject"/>
    <w:basedOn w:val="985"/>
    <w:next w:val="985"/>
    <w:link w:val="1011"/>
    <w:qFormat/>
    <w:rPr>
      <w:b/>
      <w:bCs/>
    </w:rPr>
  </w:style>
  <w:style w:type="character" w:styleId="1011" w:customStyle="1">
    <w:name w:val="批注主题 字符"/>
    <w:link w:val="1010"/>
    <w:qFormat/>
    <w:rPr>
      <w:rFonts w:ascii="Times New Roman" w:hAnsi="Times New Roman" w:eastAsia="宋体" w:cs="Times New Roman"/>
      <w:b/>
      <w:bCs/>
      <w:sz w:val="21"/>
      <w:szCs w:val="24"/>
      <w:lang w:val="en-US" w:eastAsia="zh-CN" w:bidi="ar-SA"/>
    </w:rPr>
  </w:style>
  <w:style w:type="paragraph" w:styleId="1012">
    <w:name w:val="Body Text First Indent"/>
    <w:basedOn w:val="989"/>
    <w:link w:val="1013"/>
    <w:uiPriority w:val="99"/>
    <w:qFormat/>
    <w:pPr>
      <w:ind w:firstLine="420"/>
    </w:pPr>
  </w:style>
  <w:style w:type="character" w:styleId="1013" w:customStyle="1">
    <w:name w:val="正文文本首行缩进 字符"/>
    <w:link w:val="1012"/>
    <w:uiPriority w:val="99"/>
  </w:style>
  <w:style w:type="paragraph" w:styleId="1014">
    <w:name w:val="Body Text First Indent 2"/>
    <w:basedOn w:val="991"/>
    <w:link w:val="1015"/>
    <w:qFormat/>
    <w:pPr>
      <w:ind w:left="420" w:firstLine="420"/>
      <w:spacing w:after="120" w:line="480" w:lineRule="exact"/>
    </w:pPr>
    <w:rPr>
      <w:szCs w:val="20"/>
    </w:rPr>
  </w:style>
  <w:style w:type="character" w:styleId="1015" w:customStyle="1">
    <w:name w:val="正文文本首行缩进 2 字符"/>
    <w:link w:val="1014"/>
    <w:qFormat/>
    <w:rPr>
      <w:rFonts w:eastAsia="宋体"/>
      <w:sz w:val="24"/>
      <w:szCs w:val="24"/>
      <w:lang w:val="en-US" w:eastAsia="zh-CN" w:bidi="ar-SA"/>
    </w:rPr>
  </w:style>
  <w:style w:type="table" w:styleId="1016" w:customStyle="1">
    <w:name w:val="中等深浅网格 1 - 强调文字颜色 21"/>
    <w:basedOn w:val="797"/>
    <w:qFormat/>
    <w:rPr>
      <w:sz w:val="21"/>
      <w:szCs w:val="24"/>
    </w:rPr>
    <w:tblPr/>
  </w:style>
  <w:style w:type="character" w:styleId="1017">
    <w:name w:val="Strong"/>
    <w:uiPriority w:val="99"/>
    <w:qFormat/>
    <w:rPr>
      <w:b/>
      <w:bCs/>
    </w:rPr>
  </w:style>
  <w:style w:type="character" w:styleId="1018">
    <w:name w:val="page number"/>
    <w:uiPriority w:val="99"/>
    <w:qFormat/>
  </w:style>
  <w:style w:type="character" w:styleId="1019">
    <w:name w:val="FollowedHyperlink"/>
    <w:uiPriority w:val="99"/>
    <w:qFormat/>
    <w:rPr>
      <w:color w:val="333333"/>
      <w:u w:val="none"/>
    </w:rPr>
  </w:style>
  <w:style w:type="character" w:styleId="1020">
    <w:name w:val="Emphasis"/>
    <w:uiPriority w:val="20"/>
    <w:qFormat/>
    <w:rPr>
      <w:color w:val="cc0033"/>
    </w:rPr>
  </w:style>
  <w:style w:type="character" w:styleId="1021">
    <w:name w:val="annotation reference"/>
    <w:qFormat/>
    <w:rPr>
      <w:sz w:val="21"/>
      <w:szCs w:val="21"/>
    </w:rPr>
  </w:style>
  <w:style w:type="character" w:styleId="1022">
    <w:name w:val="HTML Cite"/>
    <w:qFormat/>
    <w:rPr>
      <w:i/>
      <w:iCs/>
    </w:rPr>
  </w:style>
  <w:style w:type="paragraph" w:styleId="1023" w:customStyle="1">
    <w:name w:val="Default"/>
    <w:link w:val="1325"/>
    <w:qFormat/>
    <w:pPr>
      <w:widowControl w:val="off"/>
    </w:pPr>
    <w:rPr>
      <w:rFonts w:ascii="Symbol" w:hAnsi="Symbol" w:cs="Symbol"/>
      <w:color w:val="000000"/>
      <w:sz w:val="24"/>
      <w:szCs w:val="24"/>
    </w:rPr>
  </w:style>
  <w:style w:type="character" w:styleId="1024" w:customStyle="1">
    <w:name w:val="批注文字 字符"/>
    <w:uiPriority w:val="99"/>
    <w:qFormat/>
    <w:rPr>
      <w:rFonts w:ascii="Times New Roman" w:hAnsi="Times New Roman" w:eastAsia="宋体" w:cs="Times New Roman"/>
      <w:sz w:val="24"/>
      <w:lang w:val="en-US" w:eastAsia="zh-CN" w:bidi="ar-SA"/>
    </w:rPr>
  </w:style>
  <w:style w:type="character" w:styleId="1025" w:customStyle="1">
    <w:name w:val="c21"/>
    <w:qFormat/>
    <w:rPr>
      <w:rFonts w:ascii="ˎ̥" w:hAnsi="ˎ̥"/>
      <w:color w:val="000000"/>
      <w:sz w:val="20"/>
      <w:szCs w:val="20"/>
      <w:u w:val="none"/>
    </w:rPr>
  </w:style>
  <w:style w:type="character" w:styleId="1026" w:customStyle="1">
    <w:name w:val="title4"/>
    <w:qFormat/>
    <w:rPr>
      <w:b/>
      <w:bCs/>
      <w:color w:val="1d87b3"/>
      <w:sz w:val="15"/>
      <w:szCs w:val="15"/>
    </w:rPr>
  </w:style>
  <w:style w:type="character" w:styleId="1027" w:customStyle="1">
    <w:name w:val="标题 2 Char Char"/>
    <w:qFormat/>
    <w:rPr>
      <w:rFonts w:ascii="Arial" w:hAnsi="Arial" w:eastAsia="黑体"/>
      <w:b/>
      <w:bCs/>
      <w:sz w:val="32"/>
      <w:szCs w:val="32"/>
      <w:lang w:val="en-US" w:eastAsia="zh-CN" w:bidi="ar-SA"/>
    </w:rPr>
  </w:style>
  <w:style w:type="character" w:styleId="1028" w:customStyle="1">
    <w:name w:val="black1"/>
    <w:qFormat/>
    <w:rPr>
      <w:color w:val="000000"/>
    </w:rPr>
  </w:style>
  <w:style w:type="character" w:styleId="1029" w:customStyle="1">
    <w:name w:val="street-address"/>
    <w:qFormat/>
  </w:style>
  <w:style w:type="character" w:styleId="1030" w:customStyle="1">
    <w:name w:val="locality"/>
    <w:qFormat/>
  </w:style>
  <w:style w:type="character" w:styleId="1031" w:customStyle="1">
    <w:name w:val="正文文本缩进 Char1"/>
    <w:link w:val="1032"/>
    <w:qFormat/>
    <w:rPr>
      <w:rFonts w:ascii="宋体" w:hAnsi="宋体" w:eastAsia="宋体"/>
      <w:sz w:val="24"/>
      <w:szCs w:val="24"/>
      <w:lang w:bidi="ar-SA"/>
    </w:rPr>
  </w:style>
  <w:style w:type="paragraph" w:styleId="1032" w:customStyle="1">
    <w:name w:val="正文文本缩进1"/>
    <w:basedOn w:val="786"/>
    <w:link w:val="1031"/>
    <w:qFormat/>
    <w:pPr>
      <w:ind w:firstLine="480"/>
      <w:spacing w:line="480" w:lineRule="exact"/>
    </w:pPr>
    <w:rPr>
      <w:rFonts w:ascii="宋体" w:hAnsi="宋体"/>
      <w:sz w:val="24"/>
    </w:rPr>
  </w:style>
  <w:style w:type="character" w:styleId="1033" w:customStyle="1">
    <w:name w:val="Char Char11"/>
    <w:qFormat/>
    <w:rPr>
      <w:rFonts w:ascii="宋体" w:eastAsia="宋体"/>
      <w:b/>
      <w:sz w:val="24"/>
      <w:u w:val="single"/>
      <w:lang w:val="en-US" w:eastAsia="zh-CN" w:bidi="ar-SA"/>
    </w:rPr>
  </w:style>
  <w:style w:type="character" w:styleId="1034" w:customStyle="1">
    <w:name w:val="txt"/>
    <w:qFormat/>
  </w:style>
  <w:style w:type="character" w:styleId="1035" w:customStyle="1">
    <w:name w:val="正文缩进 Char Char"/>
    <w:link w:val="1036"/>
    <w:qFormat/>
    <w:rPr>
      <w:rFonts w:ascii="宋体" w:eastAsia="宋体"/>
      <w:color w:val="000000"/>
      <w:sz w:val="28"/>
      <w:lang w:bidi="ar-SA"/>
    </w:rPr>
  </w:style>
  <w:style w:type="paragraph" w:styleId="1036" w:customStyle="1">
    <w:name w:val="正文缩进1"/>
    <w:basedOn w:val="786"/>
    <w:link w:val="1035"/>
    <w:qFormat/>
    <w:pPr>
      <w:ind w:firstLine="567"/>
      <w:spacing w:line="480" w:lineRule="exact"/>
      <w:widowControl/>
    </w:pPr>
    <w:rPr>
      <w:rFonts w:ascii="宋体"/>
      <w:color w:val="000000"/>
      <w:sz w:val="28"/>
      <w:szCs w:val="20"/>
    </w:rPr>
  </w:style>
  <w:style w:type="character" w:styleId="1037" w:customStyle="1">
    <w:name w:val="普通文字1 Char1"/>
    <w:qFormat/>
    <w:rPr>
      <w:rFonts w:ascii="宋体" w:hAnsi="Courier New" w:eastAsia="宋体"/>
      <w:sz w:val="21"/>
      <w:lang w:val="en-US" w:eastAsia="zh-CN" w:bidi="ar-SA"/>
    </w:rPr>
  </w:style>
  <w:style w:type="character" w:styleId="1038" w:customStyle="1">
    <w:name w:val="chanpin1"/>
    <w:qFormat/>
    <w:rPr>
      <w:rFonts w:ascii="ˎ̥" w:hAnsi="ˎ̥"/>
      <w:color w:val="000000"/>
      <w:sz w:val="20"/>
      <w:szCs w:val="20"/>
      <w:u w:val="none"/>
    </w:rPr>
  </w:style>
  <w:style w:type="character" w:styleId="1039" w:customStyle="1">
    <w:name w:val="标题 3 Char Char"/>
    <w:qFormat/>
    <w:rPr>
      <w:rFonts w:eastAsia="宋体"/>
      <w:b/>
      <w:bCs/>
      <w:sz w:val="32"/>
      <w:szCs w:val="32"/>
      <w:lang w:val="en-US" w:eastAsia="zh-CN" w:bidi="ar-SA"/>
    </w:rPr>
  </w:style>
  <w:style w:type="character" w:styleId="1040" w:customStyle="1">
    <w:name w:val="段1 Char"/>
    <w:qFormat/>
    <w:rPr>
      <w:rFonts w:ascii="宋体" w:eastAsia="宋体"/>
      <w:sz w:val="24"/>
      <w:lang w:val="en-US" w:eastAsia="zh-CN" w:bidi="ar-SA"/>
    </w:rPr>
  </w:style>
  <w:style w:type="character" w:styleId="1041" w:customStyle="1">
    <w:name w:val="chanpin拷贝"/>
    <w:qFormat/>
  </w:style>
  <w:style w:type="character" w:styleId="1042" w:customStyle="1">
    <w:name w:val="纯文本 Char1"/>
    <w:qFormat/>
    <w:rPr>
      <w:rFonts w:ascii="宋体" w:hAnsi="Courier New" w:eastAsia="宋体"/>
      <w:sz w:val="21"/>
      <w:lang w:val="en-US" w:eastAsia="zh-CN" w:bidi="ar-SA"/>
    </w:rPr>
  </w:style>
  <w:style w:type="character" w:styleId="1043" w:customStyle="1">
    <w:name w:val="apple-style-span"/>
    <w:qFormat/>
    <w:rPr>
      <w:rFonts w:cs="Times New Roman"/>
    </w:rPr>
  </w:style>
  <w:style w:type="paragraph" w:styleId="1044" w:customStyle="1">
    <w:name w:val="二级条标题"/>
    <w:basedOn w:val="1045"/>
    <w:next w:val="786"/>
    <w:qFormat/>
    <w:pPr>
      <w:numPr>
        <w:ilvl w:val="0"/>
        <w:numId w:val="0"/>
      </w:numPr>
      <w:ind w:hanging="840"/>
      <w:outlineLvl w:val="2"/>
    </w:pPr>
    <w:rPr>
      <w:rFonts w:ascii="宋体" w:eastAsia="宋体"/>
      <w:b w:val="0"/>
    </w:rPr>
  </w:style>
  <w:style w:type="paragraph" w:styleId="1045" w:customStyle="1">
    <w:name w:val="一级条标题"/>
    <w:basedOn w:val="1046"/>
    <w:next w:val="786"/>
    <w:qFormat/>
    <w:pPr>
      <w:numPr>
        <w:ilvl w:val="1"/>
      </w:numPr>
      <w:ind w:left="0" w:hanging="840"/>
      <w:tabs>
        <w:tab w:val="left" w:pos="360" w:leader="none"/>
        <w:tab w:val="left" w:pos="840" w:leader="none"/>
      </w:tabs>
      <w:outlineLvl w:val="1"/>
    </w:pPr>
  </w:style>
  <w:style w:type="paragraph" w:styleId="1046" w:customStyle="1">
    <w:name w:val="章标题"/>
    <w:next w:val="786"/>
    <w:qFormat/>
    <w:pPr>
      <w:numPr>
        <w:numId w:val="1"/>
      </w:numPr>
      <w:ind w:left="0"/>
      <w:jc w:val="both"/>
      <w:spacing w:before="156" w:after="156" w:line="460" w:lineRule="exact"/>
      <w:outlineLvl w:val="0"/>
    </w:pPr>
    <w:rPr>
      <w:rFonts w:ascii="黑体" w:eastAsia="黑体"/>
      <w:b/>
      <w:sz w:val="28"/>
    </w:rPr>
  </w:style>
  <w:style w:type="paragraph" w:styleId="1047" w:customStyle="1">
    <w:name w:val="font7"/>
    <w:basedOn w:val="786"/>
    <w:qFormat/>
    <w:pPr>
      <w:jc w:val="left"/>
      <w:spacing w:before="100" w:beforeAutospacing="1" w:after="100" w:afterAutospacing="1"/>
      <w:widowControl/>
    </w:pPr>
    <w:rPr>
      <w:rFonts w:eastAsia="Arial Unicode MS"/>
      <w:b/>
      <w:bCs/>
      <w:color w:val="000000"/>
      <w:sz w:val="20"/>
      <w:szCs w:val="20"/>
    </w:rPr>
  </w:style>
  <w:style w:type="paragraph" w:styleId="1048" w:customStyle="1">
    <w:name w:val="字元 字元"/>
    <w:basedOn w:val="786"/>
    <w:qFormat/>
    <w:rPr>
      <w:rFonts w:ascii="Tahoma" w:hAnsi="Tahoma"/>
      <w:sz w:val="24"/>
      <w:szCs w:val="20"/>
    </w:rPr>
  </w:style>
  <w:style w:type="paragraph" w:styleId="1049" w:customStyle="1">
    <w:name w:val="Char3 Char Char Char"/>
    <w:basedOn w:val="786"/>
    <w:qFormat/>
    <w:rPr>
      <w:rFonts w:ascii="Tahoma" w:hAnsi="Tahoma"/>
      <w:sz w:val="24"/>
      <w:szCs w:val="20"/>
    </w:rPr>
  </w:style>
  <w:style w:type="paragraph" w:styleId="1050" w:customStyle="1">
    <w:name w:val="font6"/>
    <w:basedOn w:val="786"/>
    <w:qFormat/>
    <w:pPr>
      <w:jc w:val="left"/>
      <w:spacing w:before="100" w:beforeAutospacing="1" w:after="100" w:afterAutospacing="1"/>
      <w:widowControl/>
    </w:pPr>
    <w:rPr>
      <w:rFonts w:ascii="宋体" w:hAnsi="宋体" w:cs="宋体"/>
      <w:sz w:val="20"/>
      <w:szCs w:val="20"/>
    </w:rPr>
  </w:style>
  <w:style w:type="paragraph" w:styleId="1051" w:customStyle="1">
    <w:name w:val="项目编号2"/>
    <w:basedOn w:val="1052"/>
    <w:qFormat/>
    <w:pPr>
      <w:numPr>
        <w:numId w:val="3"/>
      </w:numPr>
    </w:pPr>
  </w:style>
  <w:style w:type="paragraph" w:styleId="1052" w:customStyle="1">
    <w:name w:val="项目编号1"/>
    <w:basedOn w:val="786"/>
    <w:qFormat/>
    <w:pPr>
      <w:numPr>
        <w:numId w:val="2"/>
      </w:numPr>
      <w:spacing w:before="100" w:beforeAutospacing="1" w:after="100" w:afterAutospacing="1" w:line="360" w:lineRule="auto"/>
    </w:pPr>
    <w:rPr>
      <w:sz w:val="24"/>
    </w:rPr>
  </w:style>
  <w:style w:type="paragraph" w:styleId="1053" w:customStyle="1">
    <w:name w:val="图中文字"/>
    <w:basedOn w:val="786"/>
    <w:qFormat/>
    <w:pPr>
      <w:jc w:val="center"/>
      <w:spacing w:line="0" w:lineRule="atLeast"/>
    </w:pPr>
    <w:rPr>
      <w:sz w:val="24"/>
      <w:szCs w:val="20"/>
    </w:rPr>
  </w:style>
  <w:style w:type="paragraph" w:styleId="1054" w:customStyle="1">
    <w:name w:val="xl46"/>
    <w:basedOn w:val="78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customStyle="1">
    <w:name w:val="xl25"/>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6" w:customStyle="1">
    <w:name w:val="Char2"/>
    <w:basedOn w:val="786"/>
    <w:qFormat/>
    <w:rPr>
      <w:rFonts w:ascii="Tahoma" w:hAnsi="Tahoma"/>
      <w:sz w:val="24"/>
      <w:szCs w:val="20"/>
    </w:rPr>
  </w:style>
  <w:style w:type="paragraph" w:styleId="1057" w:customStyle="1">
    <w:name w:val="xl35"/>
    <w:basedOn w:val="7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8" w:customStyle="1">
    <w:name w:val="xl40"/>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customStyle="1">
    <w:name w:val="xl52"/>
    <w:basedOn w:val="7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0" w:customStyle="1">
    <w:name w:val="xl43"/>
    <w:basedOn w:val="7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1" w:customStyle="1">
    <w:name w:val="background1"/>
    <w:basedOn w:val="786"/>
    <w:qFormat/>
    <w:pPr>
      <w:jc w:val="left"/>
      <w:spacing w:before="100" w:beforeAutospacing="1" w:after="100" w:afterAutospacing="1"/>
      <w:widowControl/>
    </w:pPr>
    <w:rPr>
      <w:rFonts w:ascii="宋体" w:hAnsi="宋体" w:cs="宋体"/>
      <w:sz w:val="24"/>
    </w:rPr>
  </w:style>
  <w:style w:type="paragraph" w:styleId="1062" w:customStyle="1">
    <w:name w:val="Char Char Char Char Char Char Char"/>
    <w:basedOn w:val="786"/>
    <w:qFormat/>
    <w:pPr>
      <w:ind w:firstLine="200"/>
      <w:spacing w:line="360" w:lineRule="auto"/>
    </w:pPr>
    <w:rPr>
      <w:rFonts w:eastAsia="仿宋_GB2312"/>
      <w:sz w:val="24"/>
    </w:rPr>
  </w:style>
  <w:style w:type="paragraph" w:styleId="1063" w:customStyle="1">
    <w:name w:val="xl38"/>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4" w:customStyle="1">
    <w:name w:val="xl36"/>
    <w:basedOn w:val="7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customStyle="1">
    <w:name w:val="正文 + 宋体"/>
    <w:basedOn w:val="786"/>
    <w:qFormat/>
    <w:pPr>
      <w:ind w:left="360" w:hanging="360"/>
      <w:jc w:val="left"/>
      <w:widowControl/>
    </w:pPr>
    <w:rPr>
      <w:rFonts w:ascii="宋体" w:hAnsi="宋体" w:cs="宋体"/>
      <w:b/>
      <w:bCs/>
      <w:color w:val="000000"/>
      <w:sz w:val="18"/>
      <w:szCs w:val="18"/>
    </w:rPr>
  </w:style>
  <w:style w:type="paragraph" w:styleId="1066" w:customStyle="1">
    <w:name w:val="正文列项_数字"/>
    <w:basedOn w:val="786"/>
    <w:qFormat/>
    <w:pPr>
      <w:numPr>
        <w:ilvl w:val="7"/>
        <w:numId w:val="1"/>
      </w:numPr>
      <w:ind w:left="680" w:hanging="150"/>
      <w:spacing w:line="460" w:lineRule="exact"/>
      <w:tabs>
        <w:tab w:val="clear" w:pos="860" w:leader="none"/>
      </w:tabs>
      <w:outlineLvl w:val="7"/>
    </w:pPr>
    <w:rPr>
      <w:rFonts w:ascii="宋体"/>
      <w:sz w:val="28"/>
      <w:szCs w:val="20"/>
    </w:rPr>
  </w:style>
  <w:style w:type="paragraph" w:styleId="1067" w:customStyle="1">
    <w:name w:val="xl39"/>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customStyle="1">
    <w:name w:val="xl37"/>
    <w:basedOn w:val="7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9" w:customStyle="1">
    <w:name w:val="xl32"/>
    <w:basedOn w:val="7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customStyle="1">
    <w:name w:val="font8"/>
    <w:basedOn w:val="786"/>
    <w:qFormat/>
    <w:pPr>
      <w:jc w:val="left"/>
      <w:spacing w:before="100" w:beforeAutospacing="1" w:after="100" w:afterAutospacing="1"/>
      <w:widowControl/>
    </w:pPr>
    <w:rPr>
      <w:sz w:val="36"/>
      <w:szCs w:val="36"/>
    </w:rPr>
  </w:style>
  <w:style w:type="paragraph" w:styleId="1071" w:customStyle="1">
    <w:name w:val="Char"/>
    <w:basedOn w:val="786"/>
    <w:qFormat/>
    <w:pPr>
      <w:tabs>
        <w:tab w:val="left" w:pos="360" w:leader="none"/>
      </w:tabs>
    </w:pPr>
    <w:rPr>
      <w:sz w:val="24"/>
    </w:rPr>
  </w:style>
  <w:style w:type="paragraph" w:styleId="1072" w:customStyle="1">
    <w:name w:val="Char Char Char Char Char Char Char Char Char Char Char Char Char Char Char Char"/>
    <w:basedOn w:val="786"/>
    <w:qFormat/>
    <w:pPr>
      <w:jc w:val="center"/>
      <w:spacing w:after="160" w:line="240" w:lineRule="exact"/>
      <w:widowControl/>
    </w:pPr>
    <w:rPr>
      <w:rFonts w:ascii="宋体" w:hAnsi="宋体"/>
      <w:b/>
      <w:sz w:val="30"/>
      <w:szCs w:val="30"/>
      <w:lang w:eastAsia="en-US"/>
    </w:rPr>
  </w:style>
  <w:style w:type="paragraph" w:styleId="1073" w:customStyle="1">
    <w:name w:val="xl45"/>
    <w:basedOn w:val="7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4" w:customStyle="1">
    <w:name w:val="Char Char1 Char Char Char Char Char Char"/>
    <w:basedOn w:val="786"/>
    <w:qFormat/>
    <w:pPr>
      <w:jc w:val="left"/>
      <w:spacing w:after="160" w:line="240" w:lineRule="exact"/>
      <w:widowControl/>
    </w:pPr>
    <w:rPr>
      <w:rFonts w:ascii="Verdana" w:hAnsi="Verdana" w:eastAsia="仿宋_GB2312"/>
      <w:sz w:val="24"/>
      <w:szCs w:val="20"/>
      <w:lang w:eastAsia="en-US"/>
    </w:rPr>
  </w:style>
  <w:style w:type="paragraph" w:styleId="1075" w:customStyle="1">
    <w:name w:val="Char Char1"/>
    <w:basedOn w:val="983"/>
    <w:qFormat/>
    <w:rPr>
      <w:rFonts w:ascii="Tahoma" w:hAnsi="Tahoma"/>
      <w:sz w:val="24"/>
    </w:rPr>
  </w:style>
  <w:style w:type="paragraph" w:styleId="1076" w:customStyle="1">
    <w:name w:val="xl26"/>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7" w:customStyle="1">
    <w:name w:val="xl30"/>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customStyle="1">
    <w:name w:val="xl41"/>
    <w:basedOn w:val="7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9" w:customStyle="1">
    <w:name w:val="样式 宋体 五号 行距: 单倍行距"/>
    <w:basedOn w:val="786"/>
    <w:qFormat/>
    <w:pPr>
      <w:jc w:val="left"/>
    </w:pPr>
    <w:rPr>
      <w:rFonts w:ascii="宋体" w:hAnsi="宋体"/>
      <w:szCs w:val="20"/>
    </w:rPr>
  </w:style>
  <w:style w:type="paragraph" w:styleId="1080" w:customStyle="1">
    <w:name w:val="Char1 Char Char Char1"/>
    <w:basedOn w:val="786"/>
    <w:qFormat/>
    <w:rPr>
      <w:rFonts w:ascii="Tahoma" w:hAnsi="Tahoma" w:cs="仿宋_GB2312"/>
      <w:sz w:val="24"/>
      <w:szCs w:val="28"/>
    </w:rPr>
  </w:style>
  <w:style w:type="paragraph" w:styleId="1081" w:customStyle="1">
    <w:name w:val="四级条标题"/>
    <w:basedOn w:val="1082"/>
    <w:next w:val="786"/>
    <w:qFormat/>
    <w:pPr>
      <w:numPr>
        <w:ilvl w:val="4"/>
      </w:numPr>
      <w:ind w:left="0" w:hanging="840"/>
      <w:outlineLvl w:val="4"/>
    </w:pPr>
  </w:style>
  <w:style w:type="paragraph" w:styleId="1082" w:customStyle="1">
    <w:name w:val="三级条标题"/>
    <w:basedOn w:val="1044"/>
    <w:next w:val="786"/>
    <w:qFormat/>
    <w:pPr>
      <w:numPr>
        <w:ilvl w:val="3"/>
        <w:numId w:val="1"/>
      </w:numPr>
      <w:ind w:left="0" w:hanging="840"/>
      <w:outlineLvl w:val="3"/>
    </w:pPr>
  </w:style>
  <w:style w:type="paragraph" w:styleId="1083" w:customStyle="1">
    <w:name w:val="??"/>
    <w:qFormat/>
    <w:pPr>
      <w:jc w:val="both"/>
      <w:widowControl w:val="off"/>
    </w:pPr>
    <w:rPr>
      <w:sz w:val="21"/>
      <w:lang w:eastAsia="en-US"/>
    </w:rPr>
  </w:style>
  <w:style w:type="paragraph" w:styleId="1084" w:customStyle="1">
    <w:name w:val="样式 标题 2 + 宋体 五号 行距: 单倍行距"/>
    <w:basedOn w:val="78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5" w:customStyle="1">
    <w:name w:val="List Paragraph1"/>
    <w:basedOn w:val="786"/>
    <w:qFormat/>
    <w:pPr>
      <w:ind w:firstLine="420"/>
    </w:pPr>
    <w:rPr>
      <w:rFonts w:ascii="Calibri" w:hAnsi="Calibri"/>
      <w:szCs w:val="22"/>
    </w:rPr>
  </w:style>
  <w:style w:type="paragraph" w:styleId="1086" w:customStyle="1">
    <w:name w:val="项目符号1"/>
    <w:basedOn w:val="1087"/>
    <w:qFormat/>
    <w:pPr>
      <w:ind w:left="-25" w:firstLine="0"/>
    </w:pPr>
  </w:style>
  <w:style w:type="paragraph" w:styleId="1087" w:customStyle="1">
    <w:name w:val="正文文本样式"/>
    <w:basedOn w:val="786"/>
    <w:qFormat/>
    <w:pPr>
      <w:ind w:firstLine="482"/>
      <w:spacing w:line="360" w:lineRule="auto"/>
    </w:pPr>
    <w:rPr>
      <w:rFonts w:cs="宋体"/>
      <w:sz w:val="24"/>
      <w:szCs w:val="20"/>
    </w:rPr>
  </w:style>
  <w:style w:type="paragraph" w:styleId="1088" w:customStyle="1">
    <w:name w:val="xl27"/>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9" w:customStyle="1">
    <w:name w:val="font5"/>
    <w:basedOn w:val="786"/>
    <w:qFormat/>
    <w:pPr>
      <w:jc w:val="left"/>
      <w:spacing w:before="100" w:beforeAutospacing="1" w:after="100" w:afterAutospacing="1"/>
      <w:widowControl/>
    </w:pPr>
    <w:rPr>
      <w:rFonts w:ascii="宋体" w:hAnsi="宋体" w:cs="宋体"/>
      <w:sz w:val="18"/>
      <w:szCs w:val="18"/>
    </w:rPr>
  </w:style>
  <w:style w:type="paragraph" w:styleId="1090" w:customStyle="1">
    <w:name w:val="五级条标题"/>
    <w:basedOn w:val="1081"/>
    <w:next w:val="786"/>
    <w:qFormat/>
    <w:pPr>
      <w:numPr>
        <w:ilvl w:val="5"/>
      </w:numPr>
      <w:ind w:left="0" w:hanging="840"/>
      <w:outlineLvl w:val="5"/>
    </w:pPr>
  </w:style>
  <w:style w:type="paragraph" w:styleId="1091" w:customStyle="1">
    <w:name w:val="xl49"/>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2" w:customStyle="1">
    <w:name w:val="文档正文"/>
    <w:basedOn w:val="786"/>
    <w:qFormat/>
    <w:pPr>
      <w:spacing w:before="120" w:after="120" w:line="180" w:lineRule="auto"/>
    </w:pPr>
    <w:rPr>
      <w:rFonts w:ascii="Arial" w:hAnsi="Arial"/>
      <w:szCs w:val="20"/>
    </w:rPr>
  </w:style>
  <w:style w:type="paragraph" w:styleId="1093" w:customStyle="1">
    <w:name w:val="xl33"/>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4" w:customStyle="1">
    <w:name w:val="xl42"/>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5" w:customStyle="1">
    <w:name w:val="Char Char Char1 Char"/>
    <w:basedOn w:val="786"/>
    <w:uiPriority w:val="99"/>
    <w:qFormat/>
    <w:rPr>
      <w:rFonts w:ascii="Tahoma" w:hAnsi="Tahoma"/>
      <w:sz w:val="24"/>
      <w:szCs w:val="20"/>
    </w:rPr>
  </w:style>
  <w:style w:type="paragraph" w:styleId="1096" w:customStyle="1">
    <w:name w:val="xl44"/>
    <w:basedOn w:val="7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7" w:customStyle="1">
    <w:name w:val="1名"/>
    <w:basedOn w:val="786"/>
    <w:qFormat/>
    <w:pPr>
      <w:numPr>
        <w:numId w:val="5"/>
      </w:numPr>
      <w:spacing w:before="120"/>
      <w:tabs>
        <w:tab w:val="left" w:pos="360" w:leader="none"/>
      </w:tabs>
    </w:pPr>
    <w:rPr>
      <w:rFonts w:ascii="宋体"/>
      <w:sz w:val="28"/>
      <w:szCs w:val="20"/>
    </w:rPr>
  </w:style>
  <w:style w:type="paragraph" w:styleId="1098" w:customStyle="1">
    <w:name w:val="font9"/>
    <w:basedOn w:val="786"/>
    <w:qFormat/>
    <w:pPr>
      <w:jc w:val="left"/>
      <w:spacing w:before="100" w:beforeAutospacing="1" w:after="100" w:afterAutospacing="1"/>
      <w:widowControl/>
    </w:pPr>
    <w:rPr>
      <w:rFonts w:hint="eastAsia" w:ascii="宋体" w:hAnsi="宋体" w:cs="Arial Unicode MS"/>
      <w:color w:val="000000"/>
      <w:sz w:val="20"/>
      <w:szCs w:val="20"/>
    </w:rPr>
  </w:style>
  <w:style w:type="paragraph" w:styleId="1099" w:customStyle="1">
    <w:name w:val="Char Char Char1 Char1"/>
    <w:basedOn w:val="786"/>
    <w:uiPriority w:val="99"/>
    <w:qFormat/>
    <w:rPr>
      <w:rFonts w:ascii="Tahoma" w:hAnsi="Tahoma"/>
      <w:sz w:val="24"/>
      <w:szCs w:val="20"/>
    </w:rPr>
  </w:style>
  <w:style w:type="paragraph" w:styleId="1100" w:customStyle="1">
    <w:name w:val="Char Char Char Char Char Char Char Char Char Char"/>
    <w:basedOn w:val="786"/>
    <w:qFormat/>
  </w:style>
  <w:style w:type="paragraph" w:styleId="1101" w:customStyle="1">
    <w:name w:val="Char Char1 Char Char Char Char Char Char Char Char"/>
    <w:basedOn w:val="786"/>
    <w:qFormat/>
    <w:pPr>
      <w:jc w:val="left"/>
      <w:spacing w:after="160" w:line="240" w:lineRule="exact"/>
      <w:widowControl/>
    </w:pPr>
    <w:rPr>
      <w:rFonts w:ascii="Verdana" w:hAnsi="Verdana"/>
      <w:sz w:val="20"/>
      <w:szCs w:val="20"/>
      <w:lang w:eastAsia="en-US"/>
    </w:rPr>
  </w:style>
  <w:style w:type="paragraph" w:styleId="1102" w:customStyle="1">
    <w:name w:val="Char1"/>
    <w:basedOn w:val="786"/>
    <w:qFormat/>
    <w:pPr>
      <w:tabs>
        <w:tab w:val="left" w:pos="360" w:leader="none"/>
      </w:tabs>
    </w:pPr>
    <w:rPr>
      <w:sz w:val="24"/>
    </w:rPr>
  </w:style>
  <w:style w:type="paragraph" w:styleId="1103" w:customStyle="1">
    <w:name w:val="正文列项_字母"/>
    <w:basedOn w:val="786"/>
    <w:qFormat/>
    <w:pPr>
      <w:numPr>
        <w:ilvl w:val="6"/>
        <w:numId w:val="1"/>
      </w:numPr>
      <w:ind w:left="480" w:hanging="180"/>
      <w:spacing w:line="460" w:lineRule="exact"/>
      <w:tabs>
        <w:tab w:val="clear" w:pos="635" w:leader="none"/>
      </w:tabs>
      <w:outlineLvl w:val="6"/>
    </w:pPr>
    <w:rPr>
      <w:rFonts w:ascii="宋体"/>
      <w:sz w:val="28"/>
      <w:szCs w:val="20"/>
    </w:rPr>
  </w:style>
  <w:style w:type="paragraph" w:styleId="1104" w:customStyle="1">
    <w:name w:val="xl28"/>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customStyle="1">
    <w:name w:val="xl47"/>
    <w:basedOn w:val="7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customStyle="1">
    <w:name w:val="默认段落字体 Para Char Char Char Char"/>
    <w:basedOn w:val="786"/>
    <w:qFormat/>
    <w:rPr>
      <w:rFonts w:ascii="Arial" w:hAnsi="Arial" w:cs="Arial"/>
      <w:szCs w:val="21"/>
    </w:rPr>
  </w:style>
  <w:style w:type="paragraph" w:styleId="1107" w:customStyle="1">
    <w:name w:val="xl48"/>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8" w:customStyle="1">
    <w:name w:val="xl31"/>
    <w:basedOn w:val="7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9" w:customStyle="1">
    <w:name w:val="xl53"/>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customStyle="1">
    <w:name w:val="Char Char Char"/>
    <w:basedOn w:val="786"/>
    <w:qFormat/>
    <w:rPr>
      <w:rFonts w:ascii="Tahoma" w:hAnsi="Tahoma"/>
      <w:sz w:val="24"/>
      <w:szCs w:val="20"/>
    </w:rPr>
  </w:style>
  <w:style w:type="paragraph" w:styleId="1111" w:customStyle="1">
    <w:name w:val="xl50"/>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2" w:customStyle="1">
    <w:name w:val="缺省文本"/>
    <w:basedOn w:val="786"/>
    <w:qFormat/>
    <w:pPr>
      <w:jc w:val="left"/>
    </w:pPr>
    <w:rPr>
      <w:sz w:val="24"/>
    </w:rPr>
  </w:style>
  <w:style w:type="paragraph" w:styleId="1113" w:customStyle="1">
    <w:name w:val="Char Char Char1"/>
    <w:basedOn w:val="786"/>
    <w:qFormat/>
    <w:rPr>
      <w:rFonts w:ascii="Tahoma" w:hAnsi="Tahoma"/>
      <w:sz w:val="24"/>
      <w:szCs w:val="20"/>
    </w:rPr>
  </w:style>
  <w:style w:type="paragraph" w:styleId="1114" w:customStyle="1">
    <w:name w:val="Char Char Char Char Char Char Char1"/>
    <w:basedOn w:val="786"/>
    <w:qFormat/>
    <w:pPr>
      <w:ind w:firstLine="200"/>
      <w:spacing w:line="360" w:lineRule="auto"/>
    </w:pPr>
    <w:rPr>
      <w:rFonts w:eastAsia="仿宋_GB2312"/>
      <w:sz w:val="24"/>
    </w:rPr>
  </w:style>
  <w:style w:type="paragraph" w:styleId="1115" w:customStyle="1">
    <w:name w:val="xl51"/>
    <w:basedOn w:val="7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6" w:customStyle="1">
    <w:name w:val="样式2"/>
    <w:basedOn w:val="1008"/>
    <w:uiPriority w:val="99"/>
    <w:qFormat/>
    <w:pPr>
      <w:jc w:val="center"/>
      <w:spacing w:line="360" w:lineRule="auto"/>
    </w:pPr>
    <w:rPr>
      <w:sz w:val="24"/>
    </w:rPr>
  </w:style>
  <w:style w:type="paragraph" w:styleId="1117" w:customStyle="1">
    <w:name w:val="xl24"/>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customStyle="1">
    <w:name w:val="xl29"/>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9" w:customStyle="1">
    <w:name w:val="正文 + 楷体_GB2312"/>
    <w:basedOn w:val="786"/>
    <w:qFormat/>
    <w:pPr>
      <w:jc w:val="left"/>
      <w:widowControl/>
    </w:pPr>
    <w:rPr>
      <w:rFonts w:ascii="楷体_GB2312" w:eastAsia="楷体_GB2312" w:cs="Arial"/>
      <w:sz w:val="24"/>
    </w:rPr>
  </w:style>
  <w:style w:type="paragraph" w:styleId="1120" w:customStyle="1">
    <w:name w:val="xl34"/>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1" w:customStyle="1">
    <w:name w:val="1 Char Char Char Char"/>
    <w:basedOn w:val="786"/>
    <w:qFormat/>
    <w:rPr>
      <w:rFonts w:ascii="Tahoma" w:hAnsi="Tahoma"/>
      <w:sz w:val="24"/>
      <w:szCs w:val="20"/>
    </w:rPr>
  </w:style>
  <w:style w:type="paragraph" w:styleId="1122" w:customStyle="1">
    <w:name w:val="列出段落1"/>
    <w:basedOn w:val="786"/>
    <w:qFormat/>
    <w:pPr>
      <w:ind w:firstLine="420"/>
    </w:pPr>
    <w:rPr>
      <w:rFonts w:ascii="Calibri" w:hAnsi="Calibri"/>
      <w:szCs w:val="22"/>
    </w:rPr>
  </w:style>
  <w:style w:type="paragraph" w:styleId="1123" w:customStyle="1">
    <w:name w:val="default"/>
    <w:basedOn w:val="786"/>
    <w:qFormat/>
    <w:pPr>
      <w:jc w:val="left"/>
      <w:spacing w:before="100" w:beforeAutospacing="1" w:after="100" w:afterAutospacing="1"/>
      <w:widowControl/>
    </w:pPr>
    <w:rPr>
      <w:rFonts w:ascii="宋体" w:hAnsi="宋体" w:cs="宋体"/>
      <w:sz w:val="24"/>
    </w:rPr>
  </w:style>
  <w:style w:type="paragraph" w:styleId="1124" w:customStyle="1">
    <w:name w:val="字元 字元1"/>
    <w:basedOn w:val="786"/>
    <w:qFormat/>
    <w:rPr>
      <w:rFonts w:ascii="Tahoma" w:hAnsi="Tahoma"/>
      <w:sz w:val="24"/>
      <w:szCs w:val="20"/>
    </w:rPr>
  </w:style>
  <w:style w:type="paragraph" w:styleId="1125" w:customStyle="1">
    <w:name w:val="_Style 160"/>
    <w:qFormat/>
    <w:rPr>
      <w:sz w:val="21"/>
      <w:szCs w:val="24"/>
    </w:rPr>
  </w:style>
  <w:style w:type="paragraph" w:styleId="1126" w:customStyle="1">
    <w:name w:val="项目编号3"/>
    <w:basedOn w:val="1087"/>
    <w:qFormat/>
    <w:pPr>
      <w:numPr>
        <w:numId w:val="6"/>
      </w:numPr>
    </w:pPr>
  </w:style>
  <w:style w:type="paragraph" w:styleId="1127" w:customStyle="1">
    <w:name w:val="Char21"/>
    <w:basedOn w:val="786"/>
    <w:qFormat/>
    <w:rPr>
      <w:rFonts w:ascii="Tahoma" w:hAnsi="Tahoma"/>
      <w:sz w:val="24"/>
      <w:szCs w:val="20"/>
    </w:rPr>
  </w:style>
  <w:style w:type="paragraph" w:styleId="1128" w:customStyle="1">
    <w:name w:val="表格文字"/>
    <w:basedOn w:val="991"/>
    <w:qFormat/>
    <w:pPr>
      <w:ind w:firstLine="0"/>
      <w:spacing w:before="20" w:after="20" w:line="240" w:lineRule="auto"/>
    </w:pPr>
    <w:rPr>
      <w:rFonts w:ascii="Century Gothic" w:hAnsi="Century Gothic"/>
      <w:sz w:val="20"/>
      <w:szCs w:val="20"/>
    </w:rPr>
  </w:style>
  <w:style w:type="paragraph" w:styleId="1129" w:customStyle="1">
    <w:name w:val="Char Char Char Char Char Char Char Char Char Char1"/>
    <w:basedOn w:val="786"/>
    <w:qFormat/>
    <w:rPr>
      <w:rFonts w:ascii="宋体" w:hAnsi="宋体" w:cs="Courier New"/>
      <w:sz w:val="32"/>
      <w:szCs w:val="32"/>
    </w:rPr>
  </w:style>
  <w:style w:type="paragraph" w:styleId="1130" w:customStyle="1">
    <w:name w:val="正文文本样式 加粗"/>
    <w:basedOn w:val="1087"/>
    <w:qFormat/>
    <w:rPr>
      <w:b/>
    </w:rPr>
  </w:style>
  <w:style w:type="paragraph" w:styleId="1131" w:customStyle="1">
    <w:name w:val="Char2 Char Char Char Char Char Char"/>
    <w:basedOn w:val="786"/>
    <w:qFormat/>
    <w:pPr>
      <w:jc w:val="center"/>
      <w:spacing w:line="400" w:lineRule="exact"/>
      <w:widowControl/>
    </w:pPr>
  </w:style>
  <w:style w:type="paragraph" w:styleId="1132" w:customStyle="1">
    <w:name w:val="Char Char4"/>
    <w:basedOn w:val="786"/>
    <w:qFormat/>
    <w:pPr>
      <w:jc w:val="center"/>
      <w:spacing w:line="400" w:lineRule="exact"/>
      <w:widowControl/>
    </w:pPr>
  </w:style>
  <w:style w:type="paragraph" w:styleId="1133" w:customStyle="1">
    <w:name w:val="Char3 Char Char Char1"/>
    <w:basedOn w:val="786"/>
    <w:qFormat/>
    <w:rPr>
      <w:rFonts w:ascii="Tahoma" w:hAnsi="Tahoma"/>
      <w:sz w:val="24"/>
      <w:szCs w:val="20"/>
    </w:rPr>
  </w:style>
  <w:style w:type="paragraph" w:styleId="1134" w:customStyle="1">
    <w:name w:val="22222222222222"/>
    <w:basedOn w:val="786"/>
    <w:qFormat/>
    <w:pPr>
      <w:ind w:firstLine="480"/>
      <w:jc w:val="left"/>
      <w:spacing w:line="360" w:lineRule="auto"/>
      <w:widowControl/>
    </w:pPr>
    <w:rPr>
      <w:color w:val="ff0000"/>
      <w:sz w:val="24"/>
      <w:szCs w:val="20"/>
    </w:rPr>
  </w:style>
  <w:style w:type="character" w:styleId="1135" w:customStyle="1">
    <w:name w:val="中等深浅网格 1 - 强调文字颜色 2 Char"/>
    <w:link w:val="1136"/>
    <w:qFormat/>
    <w:rPr>
      <w:sz w:val="21"/>
      <w:szCs w:val="24"/>
      <w:lang w:val="zh-CN" w:eastAsia="zh-CN" w:bidi="ar-SA"/>
    </w:rPr>
  </w:style>
  <w:style w:type="paragraph" w:styleId="1136" w:customStyle="1">
    <w:name w:val="1"/>
    <w:link w:val="1135"/>
    <w:qFormat/>
    <w:rPr>
      <w:sz w:val="21"/>
      <w:szCs w:val="24"/>
      <w:lang w:val="zh-CN"/>
    </w:rPr>
  </w:style>
  <w:style w:type="paragraph" w:styleId="1137" w:customStyle="1">
    <w:name w:val="图文"/>
    <w:basedOn w:val="786"/>
    <w:qFormat/>
    <w:pPr>
      <w:spacing w:after="50" w:line="360" w:lineRule="auto"/>
    </w:pPr>
    <w:rPr>
      <w:sz w:val="24"/>
    </w:rPr>
  </w:style>
  <w:style w:type="paragraph" w:styleId="1138" w:customStyle="1">
    <w:name w:val="xl23"/>
    <w:basedOn w:val="786"/>
    <w:qFormat/>
    <w:pPr>
      <w:spacing w:before="100" w:beforeAutospacing="1" w:after="100" w:afterAutospacing="1" w:line="360" w:lineRule="auto"/>
      <w:widowControl/>
    </w:pPr>
    <w:rPr>
      <w:sz w:val="24"/>
      <w:szCs w:val="20"/>
    </w:rPr>
  </w:style>
  <w:style w:type="paragraph" w:styleId="1139" w:customStyle="1">
    <w:name w:val="正文表格"/>
    <w:basedOn w:val="786"/>
    <w:link w:val="1140"/>
    <w:qFormat/>
    <w:pPr>
      <w:jc w:val="left"/>
    </w:pPr>
    <w:rPr>
      <w:rFonts w:ascii="宋体" w:hAnsi="宋体"/>
      <w:color w:val="000000"/>
      <w:szCs w:val="21"/>
    </w:rPr>
  </w:style>
  <w:style w:type="character" w:styleId="1140" w:customStyle="1">
    <w:name w:val="正文表格 Char"/>
    <w:link w:val="1139"/>
    <w:qFormat/>
    <w:rPr>
      <w:rFonts w:ascii="宋体" w:hAnsi="宋体"/>
      <w:color w:val="000000"/>
      <w:sz w:val="21"/>
      <w:szCs w:val="21"/>
    </w:rPr>
  </w:style>
  <w:style w:type="paragraph" w:styleId="1141" w:customStyle="1">
    <w:name w:val="正文重点"/>
    <w:basedOn w:val="786"/>
    <w:link w:val="1142"/>
    <w:qFormat/>
    <w:pPr>
      <w:ind w:firstLine="482"/>
      <w:jc w:val="left"/>
      <w:spacing w:line="360" w:lineRule="auto"/>
    </w:pPr>
    <w:rPr>
      <w:b/>
      <w:sz w:val="24"/>
      <w:szCs w:val="20"/>
    </w:rPr>
  </w:style>
  <w:style w:type="character" w:styleId="1142" w:customStyle="1">
    <w:name w:val="正文重点 Char"/>
    <w:link w:val="1141"/>
    <w:qFormat/>
    <w:rPr>
      <w:b/>
      <w:sz w:val="24"/>
    </w:rPr>
  </w:style>
  <w:style w:type="paragraph" w:styleId="1143" w:customStyle="1">
    <w:name w:val="标题1-附件"/>
    <w:basedOn w:val="787"/>
    <w:qFormat/>
    <w:pPr>
      <w:jc w:val="left"/>
    </w:pPr>
    <w:rPr>
      <w:sz w:val="24"/>
      <w:szCs w:val="24"/>
    </w:rPr>
  </w:style>
  <w:style w:type="paragraph" w:styleId="1144" w:customStyle="1">
    <w:name w:val="正文小标题"/>
    <w:basedOn w:val="786"/>
    <w:next w:val="800"/>
    <w:link w:val="1145"/>
    <w:qFormat/>
    <w:pPr>
      <w:ind w:firstLine="482"/>
      <w:jc w:val="left"/>
      <w:spacing w:before="312" w:after="312"/>
    </w:pPr>
    <w:rPr>
      <w:rFonts w:ascii="宋体" w:hAnsi="宋体"/>
      <w:b/>
      <w:i/>
      <w:color w:val="ff0000"/>
      <w:sz w:val="24"/>
      <w:szCs w:val="20"/>
    </w:rPr>
  </w:style>
  <w:style w:type="character" w:styleId="1145" w:customStyle="1">
    <w:name w:val="正文小标题 Char"/>
    <w:link w:val="1144"/>
    <w:qFormat/>
    <w:rPr>
      <w:rFonts w:ascii="宋体" w:hAnsi="宋体"/>
      <w:b/>
      <w:i/>
      <w:color w:val="ff0000"/>
      <w:sz w:val="24"/>
    </w:rPr>
  </w:style>
  <w:style w:type="paragraph" w:styleId="1146" w:customStyle="1">
    <w:name w:val="正文大标题"/>
    <w:basedOn w:val="1144"/>
    <w:next w:val="800"/>
    <w:link w:val="1147"/>
    <w:qFormat/>
    <w:pPr>
      <w:jc w:val="center"/>
    </w:pPr>
    <w:rPr>
      <w:i w:val="0"/>
      <w:color w:val="000000"/>
      <w:sz w:val="28"/>
      <w:szCs w:val="21"/>
    </w:rPr>
  </w:style>
  <w:style w:type="character" w:styleId="1147" w:customStyle="1">
    <w:name w:val="正文大标题 Char"/>
    <w:link w:val="1146"/>
    <w:qFormat/>
    <w:rPr>
      <w:rFonts w:ascii="宋体" w:hAnsi="宋体"/>
      <w:b/>
      <w:color w:val="000000"/>
      <w:sz w:val="28"/>
      <w:szCs w:val="21"/>
    </w:rPr>
  </w:style>
  <w:style w:type="paragraph" w:styleId="1148" w:customStyle="1">
    <w:name w:val="注释"/>
    <w:basedOn w:val="786"/>
    <w:link w:val="1149"/>
    <w:qFormat/>
    <w:pPr>
      <w:ind w:left="420" w:hanging="420"/>
      <w:jc w:val="left"/>
    </w:pPr>
    <w:rPr>
      <w:rFonts w:ascii="宋体" w:hAnsi="宋体"/>
      <w:szCs w:val="21"/>
    </w:rPr>
  </w:style>
  <w:style w:type="character" w:styleId="1149" w:customStyle="1">
    <w:name w:val="注释 Char"/>
    <w:link w:val="1148"/>
    <w:qFormat/>
    <w:rPr>
      <w:rFonts w:ascii="宋体" w:hAnsi="宋体"/>
      <w:sz w:val="21"/>
      <w:szCs w:val="21"/>
    </w:rPr>
  </w:style>
  <w:style w:type="paragraph" w:styleId="1150" w:customStyle="1">
    <w:name w:val="正文须知-1级"/>
    <w:basedOn w:val="786"/>
    <w:next w:val="786"/>
    <w:qFormat/>
    <w:pPr>
      <w:numPr>
        <w:numId w:val="7"/>
      </w:numPr>
      <w:spacing w:line="300" w:lineRule="auto"/>
    </w:pPr>
    <w:rPr>
      <w:rFonts w:ascii="宋体" w:hAnsi="Calibri"/>
      <w:sz w:val="24"/>
      <w:szCs w:val="21"/>
    </w:rPr>
  </w:style>
  <w:style w:type="paragraph" w:styleId="1151" w:customStyle="1">
    <w:name w:val="正文须知-2级"/>
    <w:basedOn w:val="786"/>
    <w:qFormat/>
    <w:pPr>
      <w:numPr>
        <w:ilvl w:val="1"/>
        <w:numId w:val="7"/>
      </w:numPr>
      <w:spacing w:line="300" w:lineRule="auto"/>
    </w:pPr>
    <w:rPr>
      <w:rFonts w:ascii="宋体" w:hAnsi="Calibri"/>
      <w:sz w:val="24"/>
      <w:szCs w:val="21"/>
    </w:rPr>
  </w:style>
  <w:style w:type="paragraph" w:styleId="1152" w:customStyle="1">
    <w:name w:val="正文须知-3级"/>
    <w:basedOn w:val="786"/>
    <w:qFormat/>
    <w:pPr>
      <w:numPr>
        <w:ilvl w:val="2"/>
        <w:numId w:val="7"/>
      </w:numPr>
      <w:ind w:hanging="355"/>
      <w:spacing w:line="300" w:lineRule="auto"/>
    </w:pPr>
    <w:rPr>
      <w:rFonts w:ascii="宋体" w:hAnsi="Calibri"/>
      <w:sz w:val="24"/>
      <w:szCs w:val="21"/>
    </w:rPr>
  </w:style>
  <w:style w:type="character" w:styleId="1153" w:customStyle="1">
    <w:name w:val="纯文本 字符"/>
    <w:uiPriority w:val="99"/>
    <w:qFormat/>
    <w:rPr>
      <w:rFonts w:ascii="宋体" w:hAnsi="Courier New" w:eastAsia="宋体" w:cs="Times New Roman"/>
      <w:sz w:val="21"/>
      <w:szCs w:val="21"/>
      <w:lang w:val="en-US" w:eastAsia="zh-CN" w:bidi="ar-SA"/>
    </w:rPr>
  </w:style>
  <w:style w:type="paragraph" w:styleId="1154" w:customStyle="1">
    <w:name w:val="表格1"/>
    <w:basedOn w:val="786"/>
    <w:qFormat/>
    <w:pPr>
      <w:ind w:firstLine="480"/>
      <w:jc w:val="center"/>
    </w:pPr>
    <w:rPr>
      <w:sz w:val="24"/>
      <w:szCs w:val="20"/>
    </w:rPr>
  </w:style>
  <w:style w:type="character" w:styleId="1155" w:customStyle="1">
    <w:name w:val="纯文本 字符1"/>
    <w:qFormat/>
    <w:rPr>
      <w:rFonts w:ascii="宋体" w:hAnsi="Courier New"/>
    </w:rPr>
  </w:style>
  <w:style w:type="character" w:styleId="1156" w:customStyle="1">
    <w:name w:val="bjh-p"/>
    <w:qFormat/>
  </w:style>
  <w:style w:type="paragraph" w:styleId="1157" w:customStyle="1">
    <w:name w:val="无标题条"/>
    <w:next w:val="786"/>
    <w:qFormat/>
    <w:pPr>
      <w:jc w:val="both"/>
    </w:pPr>
    <w:rPr>
      <w:sz w:val="21"/>
    </w:rPr>
  </w:style>
  <w:style w:type="character" w:styleId="1158" w:customStyle="1">
    <w:name w:val="正文格式 Char"/>
    <w:link w:val="1159"/>
    <w:qFormat/>
    <w:rPr>
      <w:rFonts w:ascii="宋体" w:hAnsi="宋体"/>
      <w:sz w:val="24"/>
      <w:szCs w:val="24"/>
      <w:lang w:val="en-GB"/>
    </w:rPr>
  </w:style>
  <w:style w:type="paragraph" w:styleId="1159" w:customStyle="1">
    <w:name w:val="正文格式"/>
    <w:basedOn w:val="786"/>
    <w:link w:val="1158"/>
    <w:qFormat/>
    <w:pPr>
      <w:ind w:firstLine="480"/>
      <w:spacing w:line="360" w:lineRule="auto"/>
    </w:pPr>
    <w:rPr>
      <w:rFonts w:ascii="宋体" w:hAnsi="宋体"/>
      <w:sz w:val="24"/>
      <w:lang w:val="en-GB"/>
    </w:rPr>
  </w:style>
  <w:style w:type="character" w:styleId="1160" w:customStyle="1">
    <w:name w:val="标题 3 Char"/>
    <w:uiPriority w:val="99"/>
    <w:qFormat/>
    <w:rPr>
      <w:rFonts w:ascii="宋体" w:eastAsia="宋体"/>
      <w:b/>
      <w:sz w:val="24"/>
      <w:u w:val="single"/>
      <w:lang w:val="en-US" w:eastAsia="zh-CN" w:bidi="ar-SA"/>
    </w:rPr>
  </w:style>
  <w:style w:type="character" w:styleId="1161" w:customStyle="1">
    <w:name w:val="正文缩进 Char"/>
    <w:uiPriority w:val="99"/>
    <w:qFormat/>
    <w:rPr>
      <w:rFonts w:ascii="宋体" w:eastAsia="宋体"/>
      <w:sz w:val="24"/>
      <w:szCs w:val="24"/>
      <w:lang w:val="en-US" w:eastAsia="zh-CN" w:bidi="ar-SA"/>
    </w:rPr>
  </w:style>
  <w:style w:type="character" w:styleId="1162" w:customStyle="1">
    <w:name w:val="Char Char111"/>
    <w:qFormat/>
    <w:rPr>
      <w:rFonts w:ascii="宋体" w:eastAsia="宋体"/>
      <w:b/>
      <w:sz w:val="24"/>
      <w:u w:val="single"/>
      <w:lang w:val="en-US" w:eastAsia="zh-CN" w:bidi="ar-SA"/>
    </w:rPr>
  </w:style>
  <w:style w:type="character" w:styleId="1163" w:customStyle="1">
    <w:name w:val="正文文本缩进 Char"/>
    <w:qFormat/>
    <w:rPr>
      <w:rFonts w:eastAsia="宋体"/>
      <w:sz w:val="24"/>
      <w:szCs w:val="24"/>
      <w:lang w:val="en-US" w:eastAsia="zh-CN" w:bidi="ar-SA"/>
    </w:rPr>
  </w:style>
  <w:style w:type="character" w:styleId="1164" w:customStyle="1">
    <w:name w:val="列出段落 Char"/>
    <w:uiPriority w:val="34"/>
    <w:qFormat/>
    <w:rPr>
      <w:rFonts w:ascii="Calibri" w:hAnsi="Calibri" w:eastAsia="宋体"/>
      <w:sz w:val="21"/>
      <w:szCs w:val="22"/>
      <w:lang w:val="en-US" w:eastAsia="zh-CN" w:bidi="ar-SA"/>
    </w:rPr>
  </w:style>
  <w:style w:type="character" w:styleId="1165" w:customStyle="1">
    <w:name w:val="页眉 Char"/>
    <w:uiPriority w:val="99"/>
    <w:qFormat/>
    <w:rPr>
      <w:rFonts w:eastAsia="宋体"/>
      <w:sz w:val="18"/>
      <w:szCs w:val="18"/>
      <w:lang w:val="en-US" w:eastAsia="zh-CN" w:bidi="ar-SA"/>
    </w:rPr>
  </w:style>
  <w:style w:type="character" w:styleId="1166" w:customStyle="1">
    <w:name w:val="标题 2 Char"/>
    <w:uiPriority w:val="99"/>
    <w:qFormat/>
    <w:rPr>
      <w:rFonts w:ascii="Arial" w:hAnsi="Arial" w:eastAsia="黑体"/>
      <w:b/>
      <w:sz w:val="30"/>
      <w:lang w:val="en-US" w:eastAsia="zh-CN" w:bidi="ar-SA"/>
    </w:rPr>
  </w:style>
  <w:style w:type="paragraph" w:styleId="1167" w:customStyle="1">
    <w:name w:val="字元 字元2"/>
    <w:basedOn w:val="786"/>
    <w:qFormat/>
    <w:rPr>
      <w:rFonts w:ascii="Tahoma" w:hAnsi="Tahoma"/>
      <w:sz w:val="24"/>
      <w:szCs w:val="20"/>
    </w:rPr>
  </w:style>
  <w:style w:type="paragraph" w:styleId="1168" w:customStyle="1">
    <w:name w:val="Char3 Char Char Char2"/>
    <w:basedOn w:val="786"/>
    <w:qFormat/>
    <w:rPr>
      <w:rFonts w:ascii="Tahoma" w:hAnsi="Tahoma"/>
      <w:sz w:val="24"/>
      <w:szCs w:val="20"/>
    </w:rPr>
  </w:style>
  <w:style w:type="paragraph" w:styleId="1169" w:customStyle="1">
    <w:name w:val="正文文本缩进2"/>
    <w:basedOn w:val="786"/>
    <w:qFormat/>
    <w:pPr>
      <w:ind w:firstLine="480"/>
      <w:spacing w:line="480" w:lineRule="exact"/>
    </w:pPr>
    <w:rPr>
      <w:rFonts w:ascii="宋体" w:hAnsi="宋体"/>
      <w:sz w:val="24"/>
      <w:lang w:val="zh-CN"/>
    </w:rPr>
  </w:style>
  <w:style w:type="paragraph" w:styleId="1170" w:customStyle="1">
    <w:name w:val="Char3"/>
    <w:basedOn w:val="786"/>
    <w:qFormat/>
    <w:pPr>
      <w:tabs>
        <w:tab w:val="left" w:pos="360" w:leader="none"/>
      </w:tabs>
    </w:pPr>
    <w:rPr>
      <w:sz w:val="24"/>
    </w:rPr>
  </w:style>
  <w:style w:type="paragraph" w:styleId="1171" w:customStyle="1">
    <w:name w:val="Char Char Char Char Char Char Char Char Char Char Char Char Char Char Char Char1"/>
    <w:basedOn w:val="786"/>
    <w:qFormat/>
    <w:pPr>
      <w:jc w:val="center"/>
      <w:spacing w:after="160" w:line="240" w:lineRule="exact"/>
      <w:widowControl/>
    </w:pPr>
    <w:rPr>
      <w:rFonts w:ascii="宋体" w:hAnsi="宋体"/>
      <w:b/>
      <w:sz w:val="30"/>
      <w:szCs w:val="30"/>
      <w:lang w:eastAsia="en-US"/>
    </w:rPr>
  </w:style>
  <w:style w:type="paragraph" w:styleId="1172" w:customStyle="1">
    <w:name w:val="Char Char1 Char Char Char Char Char Char1"/>
    <w:basedOn w:val="786"/>
    <w:qFormat/>
    <w:pPr>
      <w:jc w:val="left"/>
      <w:spacing w:after="160" w:line="240" w:lineRule="exact"/>
      <w:widowControl/>
    </w:pPr>
    <w:rPr>
      <w:rFonts w:ascii="Verdana" w:hAnsi="Verdana" w:eastAsia="仿宋_GB2312"/>
      <w:sz w:val="24"/>
      <w:szCs w:val="20"/>
      <w:lang w:eastAsia="en-US"/>
    </w:rPr>
  </w:style>
  <w:style w:type="paragraph" w:styleId="1173" w:customStyle="1">
    <w:name w:val="列出段落2"/>
    <w:basedOn w:val="786"/>
    <w:qFormat/>
    <w:pPr>
      <w:ind w:firstLine="420"/>
    </w:pPr>
    <w:rPr>
      <w:rFonts w:ascii="Calibri" w:hAnsi="Calibri"/>
      <w:szCs w:val="22"/>
    </w:rPr>
  </w:style>
  <w:style w:type="paragraph" w:styleId="1174" w:customStyle="1">
    <w:name w:val="Char Char Char1 Char2"/>
    <w:basedOn w:val="786"/>
    <w:uiPriority w:val="99"/>
    <w:qFormat/>
    <w:rPr>
      <w:rFonts w:ascii="Tahoma" w:hAnsi="Tahoma"/>
      <w:sz w:val="24"/>
      <w:szCs w:val="20"/>
    </w:rPr>
  </w:style>
  <w:style w:type="paragraph" w:styleId="1175" w:customStyle="1">
    <w:name w:val="Char Char Char2"/>
    <w:basedOn w:val="786"/>
    <w:qFormat/>
    <w:rPr>
      <w:rFonts w:ascii="Tahoma" w:hAnsi="Tahoma"/>
      <w:sz w:val="24"/>
      <w:szCs w:val="20"/>
    </w:rPr>
  </w:style>
  <w:style w:type="paragraph" w:styleId="1176" w:customStyle="1">
    <w:name w:val="Char Char Char Char Char Char Char2"/>
    <w:basedOn w:val="786"/>
    <w:qFormat/>
    <w:pPr>
      <w:ind w:firstLine="200"/>
      <w:spacing w:line="360" w:lineRule="auto"/>
    </w:pPr>
    <w:rPr>
      <w:rFonts w:eastAsia="仿宋_GB2312"/>
      <w:sz w:val="24"/>
    </w:rPr>
  </w:style>
  <w:style w:type="paragraph" w:styleId="1177" w:customStyle="1">
    <w:name w:val="正文缩进2"/>
    <w:basedOn w:val="786"/>
    <w:qFormat/>
    <w:pPr>
      <w:ind w:firstLine="567"/>
      <w:spacing w:line="480" w:lineRule="exact"/>
      <w:widowControl/>
    </w:pPr>
    <w:rPr>
      <w:rFonts w:ascii="宋体"/>
      <w:color w:val="000000"/>
      <w:sz w:val="28"/>
      <w:szCs w:val="20"/>
      <w:lang w:val="zh-CN"/>
    </w:rPr>
  </w:style>
  <w:style w:type="paragraph" w:styleId="1178" w:customStyle="1">
    <w:name w:val="Revision1"/>
    <w:qFormat/>
    <w:rPr>
      <w:sz w:val="21"/>
      <w:szCs w:val="24"/>
    </w:rPr>
  </w:style>
  <w:style w:type="paragraph" w:styleId="1179" w:customStyle="1">
    <w:name w:val="Char22"/>
    <w:basedOn w:val="786"/>
    <w:qFormat/>
    <w:rPr>
      <w:rFonts w:ascii="Tahoma" w:hAnsi="Tahoma"/>
      <w:sz w:val="24"/>
      <w:szCs w:val="20"/>
    </w:rPr>
  </w:style>
  <w:style w:type="paragraph" w:styleId="1180" w:customStyle="1">
    <w:name w:val="Char Char Char Char Char Char Char Char Char Char2"/>
    <w:basedOn w:val="786"/>
    <w:qFormat/>
    <w:rPr>
      <w:rFonts w:ascii="宋体" w:hAnsi="宋体" w:cs="Courier New"/>
      <w:sz w:val="32"/>
      <w:szCs w:val="32"/>
    </w:rPr>
  </w:style>
  <w:style w:type="paragraph" w:styleId="1181" w:customStyle="1">
    <w:name w:val="Char2 Char Char Char Char Char Char1"/>
    <w:basedOn w:val="786"/>
    <w:qFormat/>
    <w:pPr>
      <w:jc w:val="center"/>
      <w:spacing w:line="400" w:lineRule="exact"/>
      <w:widowControl/>
    </w:pPr>
  </w:style>
  <w:style w:type="character" w:styleId="1182" w:customStyle="1">
    <w:name w:val="页脚 Char"/>
    <w:uiPriority w:val="99"/>
    <w:qFormat/>
    <w:rPr>
      <w:rFonts w:ascii="宋体" w:eastAsia="宋体"/>
      <w:sz w:val="18"/>
      <w:lang w:val="en-US" w:eastAsia="zh-CN" w:bidi="ar-SA"/>
    </w:rPr>
  </w:style>
  <w:style w:type="paragraph" w:styleId="1183" w:customStyle="1">
    <w:name w:val="Char Char41"/>
    <w:basedOn w:val="786"/>
    <w:qFormat/>
    <w:pPr>
      <w:jc w:val="center"/>
      <w:spacing w:line="400" w:lineRule="exact"/>
      <w:widowControl/>
    </w:pPr>
  </w:style>
  <w:style w:type="character" w:styleId="1184" w:customStyle="1">
    <w:name w:val="批注文字 Char"/>
    <w:uiPriority w:val="99"/>
    <w:qFormat/>
    <w:rPr>
      <w:sz w:val="21"/>
      <w:szCs w:val="24"/>
    </w:rPr>
  </w:style>
  <w:style w:type="character" w:styleId="1185" w:customStyle="1">
    <w:name w:val="标题 Char"/>
    <w:qFormat/>
    <w:rPr>
      <w:b/>
      <w:sz w:val="32"/>
    </w:rPr>
  </w:style>
  <w:style w:type="paragraph" w:styleId="1186" w:customStyle="1">
    <w:name w:val="图例"/>
    <w:basedOn w:val="786"/>
    <w:qFormat/>
    <w:pPr>
      <w:jc w:val="center"/>
      <w:spacing w:before="120" w:after="120" w:line="360" w:lineRule="auto"/>
    </w:pPr>
    <w:rPr>
      <w:rFonts w:eastAsia="仿宋_GB2312"/>
      <w:b/>
      <w:sz w:val="24"/>
      <w:szCs w:val="20"/>
    </w:rPr>
  </w:style>
  <w:style w:type="table" w:styleId="1187"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88" w:customStyle="1">
    <w:name w:val="Table Paragraph"/>
    <w:basedOn w:val="786"/>
    <w:uiPriority w:val="1"/>
    <w:qFormat/>
    <w:pPr>
      <w:jc w:val="left"/>
    </w:pPr>
    <w:rPr>
      <w:rFonts w:ascii="宋体" w:hAnsi="宋体" w:cs="宋体"/>
      <w:sz w:val="22"/>
      <w:szCs w:val="22"/>
      <w:lang w:eastAsia="en-US"/>
    </w:rPr>
  </w:style>
  <w:style w:type="paragraph" w:styleId="1189" w:customStyle="1">
    <w:name w:val="成文日期"/>
    <w:basedOn w:val="786"/>
    <w:link w:val="1190"/>
    <w:qFormat/>
    <w:pPr>
      <w:ind w:right="400" w:firstLine="200"/>
      <w:jc w:val="right"/>
      <w:spacing w:line="570" w:lineRule="exact"/>
    </w:pPr>
    <w:rPr>
      <w:rFonts w:ascii="仿宋_GB2312" w:eastAsia="仿宋_GB2312"/>
      <w:sz w:val="32"/>
      <w:szCs w:val="20"/>
    </w:rPr>
  </w:style>
  <w:style w:type="character" w:styleId="1190" w:customStyle="1">
    <w:name w:val="成文日期 Char"/>
    <w:link w:val="1189"/>
    <w:qFormat/>
    <w:rPr>
      <w:rFonts w:ascii="仿宋_GB2312" w:eastAsia="仿宋_GB2312"/>
      <w:sz w:val="32"/>
    </w:rPr>
  </w:style>
  <w:style w:type="paragraph" w:styleId="1191">
    <w:name w:val="Revision"/>
    <w:uiPriority w:val="99"/>
    <w:unhideWhenUsed/>
    <w:rPr>
      <w:sz w:val="21"/>
      <w:szCs w:val="24"/>
    </w:rPr>
  </w:style>
  <w:style w:type="paragraph" w:styleId="1192" w:customStyle="1">
    <w:name w:val="正文1"/>
    <w:basedOn w:val="786"/>
    <w:qFormat/>
    <w:pPr>
      <w:contextualSpacing/>
      <w:ind w:firstLine="200"/>
      <w:jc w:val="left"/>
      <w:spacing w:before="120" w:after="120"/>
      <w:widowControl/>
    </w:pPr>
    <w:rPr>
      <w:rFonts w:ascii="Calibri" w:hAnsi="Calibri" w:eastAsia="Adobe 仿宋 Std R"/>
      <w:sz w:val="20"/>
      <w:szCs w:val="21"/>
    </w:rPr>
  </w:style>
  <w:style w:type="character" w:styleId="1193" w:customStyle="1">
    <w:name w:val="材料标题 Char"/>
    <w:link w:val="1194"/>
    <w:qFormat/>
    <w:rPr>
      <w:rFonts w:ascii="方正小标宋简体" w:eastAsia="方正小标宋简体"/>
      <w:color w:val="000000"/>
      <w:sz w:val="44"/>
      <w:szCs w:val="44"/>
    </w:rPr>
  </w:style>
  <w:style w:type="paragraph" w:styleId="1194" w:customStyle="1">
    <w:name w:val="材料标题"/>
    <w:basedOn w:val="786"/>
    <w:link w:val="1193"/>
    <w:qFormat/>
    <w:pPr>
      <w:jc w:val="center"/>
      <w:spacing w:line="700" w:lineRule="exact"/>
    </w:pPr>
    <w:rPr>
      <w:rFonts w:ascii="方正小标宋简体" w:eastAsia="方正小标宋简体"/>
      <w:color w:val="000000"/>
      <w:sz w:val="44"/>
      <w:szCs w:val="44"/>
    </w:rPr>
  </w:style>
  <w:style w:type="character" w:styleId="1195" w:customStyle="1">
    <w:name w:val="未处理的提及1"/>
    <w:uiPriority w:val="99"/>
    <w:unhideWhenUsed/>
    <w:rPr>
      <w:color w:val="605e5c"/>
      <w:shd w:val="clear" w:color="auto" w:fill="e1dfdd"/>
    </w:rPr>
  </w:style>
  <w:style w:type="character" w:styleId="1196" w:customStyle="1">
    <w:name w:val="grame"/>
  </w:style>
  <w:style w:type="paragraph" w:styleId="1197" w:customStyle="1">
    <w:name w:val="_Style 259"/>
    <w:uiPriority w:val="99"/>
    <w:qFormat/>
    <w:rPr>
      <w:sz w:val="21"/>
      <w:szCs w:val="24"/>
    </w:rPr>
  </w:style>
  <w:style w:type="character" w:styleId="1198" w:customStyle="1">
    <w:name w:val="☆ 正文 Char"/>
    <w:link w:val="1199"/>
    <w:qFormat/>
    <w:rPr>
      <w:sz w:val="21"/>
      <w:szCs w:val="22"/>
    </w:rPr>
  </w:style>
  <w:style w:type="paragraph" w:styleId="1199" w:customStyle="1">
    <w:name w:val="☆ 正文"/>
    <w:basedOn w:val="786"/>
    <w:link w:val="1198"/>
    <w:qFormat/>
    <w:rPr>
      <w:szCs w:val="22"/>
    </w:rPr>
  </w:style>
  <w:style w:type="paragraph" w:styleId="1200" w:customStyle="1">
    <w:name w:val="_Style 493"/>
    <w:basedOn w:val="786"/>
    <w:next w:val="819"/>
    <w:qFormat/>
    <w:pPr>
      <w:ind w:firstLine="420"/>
    </w:pPr>
    <w:rPr>
      <w:rFonts w:ascii="Calibri" w:hAnsi="Calibri"/>
      <w:szCs w:val="22"/>
    </w:rPr>
  </w:style>
  <w:style w:type="paragraph" w:styleId="1201" w:customStyle="1">
    <w:name w:val="二级目录"/>
    <w:next w:val="786"/>
    <w:uiPriority w:val="99"/>
    <w:qFormat/>
    <w:pPr>
      <w:ind w:left="720" w:hanging="720"/>
      <w:tabs>
        <w:tab w:val="left" w:pos="720" w:leader="none"/>
      </w:tabs>
      <w:outlineLvl w:val="1"/>
    </w:pPr>
    <w:rPr>
      <w:rFonts w:cs="Calibri"/>
      <w:b/>
      <w:bCs/>
      <w:sz w:val="30"/>
      <w:szCs w:val="30"/>
    </w:rPr>
  </w:style>
  <w:style w:type="table" w:styleId="1202" w:customStyle="1">
    <w:name w:val="中等深浅网格 1 - 着色 21"/>
    <w:basedOn w:val="797"/>
    <w:qFormat/>
    <w:rPr>
      <w:sz w:val="21"/>
      <w:szCs w:val="24"/>
    </w:rPr>
    <w:tblPr/>
  </w:style>
  <w:style w:type="character" w:styleId="1203" w:customStyle="1">
    <w:name w:val="访问过的超链接1"/>
    <w:uiPriority w:val="99"/>
    <w:qFormat/>
    <w:rPr>
      <w:color w:val="333333"/>
      <w:u w:val="none"/>
    </w:rPr>
  </w:style>
  <w:style w:type="paragraph" w:styleId="1204" w:customStyle="1">
    <w:name w:val="列出段落11"/>
    <w:basedOn w:val="786"/>
    <w:qFormat/>
    <w:pPr>
      <w:ind w:firstLine="420"/>
    </w:pPr>
    <w:rPr>
      <w:rFonts w:ascii="Calibri" w:hAnsi="Calibri"/>
      <w:szCs w:val="22"/>
    </w:rPr>
  </w:style>
  <w:style w:type="paragraph" w:styleId="1205" w:customStyle="1">
    <w:name w:val="无间隔1"/>
    <w:qFormat/>
    <w:pPr>
      <w:jc w:val="both"/>
      <w:widowControl w:val="off"/>
    </w:pPr>
    <w:rPr>
      <w:sz w:val="21"/>
      <w:szCs w:val="24"/>
    </w:rPr>
  </w:style>
  <w:style w:type="paragraph" w:styleId="1206" w:customStyle="1">
    <w:name w:val="修订1"/>
    <w:qFormat/>
    <w:rPr>
      <w:sz w:val="21"/>
      <w:szCs w:val="24"/>
    </w:rPr>
  </w:style>
  <w:style w:type="paragraph" w:styleId="1207" w:customStyle="1">
    <w:name w:val="修订2"/>
    <w:uiPriority w:val="99"/>
    <w:unhideWhenUsed/>
    <w:qFormat/>
    <w:rPr>
      <w:sz w:val="21"/>
      <w:szCs w:val="24"/>
    </w:rPr>
  </w:style>
  <w:style w:type="paragraph" w:styleId="1208" w:customStyle="1">
    <w:name w:val="msolistparagraph"/>
    <w:basedOn w:val="786"/>
    <w:qFormat/>
    <w:pPr>
      <w:ind w:firstLine="420"/>
    </w:pPr>
    <w:rPr>
      <w:rFonts w:ascii="Calibri" w:hAnsi="Calibri"/>
      <w:sz w:val="20"/>
      <w:szCs w:val="22"/>
    </w:rPr>
  </w:style>
  <w:style w:type="paragraph" w:styleId="1209" w:customStyle="1">
    <w:name w:val="首行缩进"/>
    <w:basedOn w:val="786"/>
    <w:qFormat/>
    <w:pPr>
      <w:ind w:firstLine="480"/>
      <w:jc w:val="left"/>
      <w:spacing w:line="360" w:lineRule="auto"/>
    </w:pPr>
    <w:rPr>
      <w:rFonts w:ascii="宋体" w:hAnsi="宋体"/>
      <w:sz w:val="20"/>
      <w:szCs w:val="22"/>
    </w:rPr>
  </w:style>
  <w:style w:type="paragraph" w:styleId="1210" w:customStyle="1">
    <w:name w:val="xl65"/>
    <w:basedOn w:val="78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1" w:customStyle="1">
    <w:name w:val="xl66"/>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2" w:customStyle="1">
    <w:name w:val="xl67"/>
    <w:basedOn w:val="786"/>
    <w:qFormat/>
    <w:pPr>
      <w:jc w:val="center"/>
      <w:spacing w:before="100" w:beforeAutospacing="1" w:after="100" w:afterAutospacing="1"/>
      <w:widowControl/>
    </w:pPr>
    <w:rPr>
      <w:rFonts w:ascii="宋体" w:hAnsi="宋体" w:cs="宋体"/>
      <w:b/>
      <w:bCs/>
      <w:sz w:val="18"/>
      <w:szCs w:val="18"/>
    </w:rPr>
  </w:style>
  <w:style w:type="paragraph" w:styleId="1213" w:customStyle="1">
    <w:name w:val="xl68"/>
    <w:basedOn w:val="786"/>
    <w:qFormat/>
    <w:pPr>
      <w:jc w:val="center"/>
      <w:spacing w:before="100" w:beforeAutospacing="1" w:after="100" w:afterAutospacing="1"/>
      <w:widowControl/>
    </w:pPr>
    <w:rPr>
      <w:rFonts w:ascii="宋体" w:hAnsi="宋体" w:cs="宋体"/>
      <w:sz w:val="24"/>
    </w:rPr>
  </w:style>
  <w:style w:type="paragraph" w:styleId="1214" w:customStyle="1">
    <w:name w:val="xl69"/>
    <w:basedOn w:val="7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15" w:customStyle="1">
    <w:name w:val="xl70"/>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6" w:customStyle="1">
    <w:name w:val="xl71"/>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7" w:customStyle="1">
    <w:name w:val="xl72"/>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8" w:customStyle="1">
    <w:name w:val="xl73"/>
    <w:basedOn w:val="786"/>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19" w:customStyle="1">
    <w:name w:val="xl74"/>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0" w:customStyle="1">
    <w:name w:val="xl75"/>
    <w:basedOn w:val="78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21" w:customStyle="1">
    <w:name w:val="xl76"/>
    <w:basedOn w:val="78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2" w:customStyle="1">
    <w:name w:val="xl77"/>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3" w:customStyle="1">
    <w:name w:val="xl78"/>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4" w:customStyle="1">
    <w:name w:val="xl79"/>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5" w:customStyle="1">
    <w:name w:val="xl80"/>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6" w:customStyle="1">
    <w:name w:val="xl81"/>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7" w:customStyle="1">
    <w:name w:val="xl82"/>
    <w:basedOn w:val="78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28" w:customStyle="1">
    <w:name w:val="xl83"/>
    <w:basedOn w:val="78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9" w:customStyle="1">
    <w:name w:val="xl84"/>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customStyle="1">
    <w:name w:val="xl85"/>
    <w:basedOn w:val="7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1" w:customStyle="1">
    <w:name w:val="xl86"/>
    <w:basedOn w:val="7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2" w:customStyle="1">
    <w:name w:val="xl87"/>
    <w:basedOn w:val="7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3" w:customStyle="1">
    <w:name w:val="xl88"/>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4" w:customStyle="1">
    <w:name w:val="xl89"/>
    <w:basedOn w:val="78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5" w:customStyle="1">
    <w:name w:val="xl90"/>
    <w:basedOn w:val="786"/>
    <w:qFormat/>
    <w:pPr>
      <w:jc w:val="center"/>
      <w:spacing w:before="100" w:beforeAutospacing="1" w:after="100" w:afterAutospacing="1"/>
      <w:widowControl/>
    </w:pPr>
    <w:rPr>
      <w:rFonts w:ascii="宋体" w:hAnsi="宋体" w:cs="宋体"/>
      <w:b/>
      <w:bCs/>
      <w:sz w:val="24"/>
    </w:rPr>
  </w:style>
  <w:style w:type="paragraph" w:styleId="1236" w:customStyle="1">
    <w:name w:val="xl91"/>
    <w:basedOn w:val="786"/>
    <w:pPr>
      <w:jc w:val="center"/>
      <w:spacing w:before="100" w:beforeAutospacing="1" w:after="100" w:afterAutospacing="1"/>
      <w:widowControl/>
    </w:pPr>
    <w:rPr>
      <w:rFonts w:ascii="宋体" w:hAnsi="宋体" w:cs="宋体"/>
      <w:sz w:val="24"/>
    </w:rPr>
  </w:style>
  <w:style w:type="paragraph" w:styleId="1237" w:customStyle="1">
    <w:name w:val="xl92"/>
    <w:basedOn w:val="786"/>
    <w:qFormat/>
    <w:pPr>
      <w:jc w:val="left"/>
      <w:spacing w:before="100" w:beforeAutospacing="1" w:after="100" w:afterAutospacing="1"/>
      <w:widowControl/>
    </w:pPr>
    <w:rPr>
      <w:rFonts w:ascii="宋体" w:hAnsi="宋体" w:cs="宋体"/>
      <w:sz w:val="24"/>
    </w:rPr>
  </w:style>
  <w:style w:type="paragraph" w:styleId="1238" w:customStyle="1">
    <w:name w:val="xl93"/>
    <w:basedOn w:val="786"/>
    <w:qFormat/>
    <w:pPr>
      <w:jc w:val="left"/>
      <w:spacing w:before="100" w:beforeAutospacing="1" w:after="100" w:afterAutospacing="1"/>
      <w:widowControl/>
    </w:pPr>
    <w:rPr>
      <w:rFonts w:ascii="宋体" w:hAnsi="宋体" w:cs="宋体"/>
      <w:sz w:val="24"/>
    </w:rPr>
  </w:style>
  <w:style w:type="paragraph" w:styleId="1239" w:customStyle="1">
    <w:name w:val="xl94"/>
    <w:basedOn w:val="78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40" w:customStyle="1">
    <w:name w:val="xl95"/>
    <w:basedOn w:val="7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41" w:customStyle="1">
    <w:name w:val="xl96"/>
    <w:basedOn w:val="786"/>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42" w:customStyle="1">
    <w:name w:val="xl97"/>
    <w:basedOn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43" w:customStyle="1">
    <w:name w:val="font41"/>
    <w:qFormat/>
    <w:rPr>
      <w:rFonts w:hint="eastAsia" w:ascii="宋体" w:hAnsi="宋体" w:eastAsia="宋体" w:cs="宋体"/>
      <w:color w:val="000000"/>
      <w:sz w:val="20"/>
      <w:szCs w:val="20"/>
      <w:u w:val="none"/>
    </w:rPr>
  </w:style>
  <w:style w:type="character" w:styleId="1244" w:customStyle="1">
    <w:name w:val="font21"/>
    <w:qFormat/>
    <w:rPr>
      <w:rFonts w:ascii="Times New Roman" w:hAnsi="Times New Roman" w:cs="Times New Roman"/>
      <w:color w:val="000000"/>
      <w:sz w:val="20"/>
      <w:szCs w:val="20"/>
      <w:u w:val="none"/>
    </w:rPr>
  </w:style>
  <w:style w:type="paragraph" w:styleId="1245" w:customStyle="1">
    <w:name w:val="xl98"/>
    <w:basedOn w:val="786"/>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6" w:customStyle="1">
    <w:name w:val="xl99"/>
    <w:basedOn w:val="78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47" w:customStyle="1">
    <w:name w:val="正文文本缩进 Char Char"/>
    <w:basedOn w:val="786"/>
    <w:uiPriority w:val="99"/>
    <w:qFormat/>
    <w:pPr>
      <w:ind w:left="420"/>
      <w:spacing w:after="120"/>
    </w:pPr>
    <w:rPr>
      <w:szCs w:val="20"/>
    </w:rPr>
  </w:style>
  <w:style w:type="character" w:styleId="1248" w:customStyle="1">
    <w:name w:val="font31"/>
    <w:qFormat/>
    <w:rPr>
      <w:rFonts w:hint="eastAsia" w:ascii="宋体" w:hAnsi="宋体" w:eastAsia="宋体" w:cs="宋体"/>
      <w:i w:val="0"/>
      <w:color w:val="000000"/>
      <w:sz w:val="22"/>
      <w:szCs w:val="22"/>
      <w:u w:val="none"/>
    </w:rPr>
  </w:style>
  <w:style w:type="character" w:styleId="1249" w:customStyle="1">
    <w:name w:val="Placeholder Text1"/>
    <w:uiPriority w:val="99"/>
    <w:semiHidden/>
    <w:qFormat/>
    <w:rPr>
      <w:rFonts w:cs="Times New Roman"/>
      <w:color w:val="808080"/>
    </w:rPr>
  </w:style>
  <w:style w:type="character" w:styleId="1250" w:customStyle="1">
    <w:name w:val="font01"/>
    <w:rPr>
      <w:rFonts w:ascii="font-weight : 400" w:hAnsi="font-weight : 400" w:eastAsia="font-weight : 400" w:cs="font-weight : 400"/>
      <w:i w:val="0"/>
      <w:color w:val="000000"/>
      <w:sz w:val="22"/>
      <w:szCs w:val="22"/>
      <w:u w:val="none"/>
    </w:rPr>
  </w:style>
  <w:style w:type="character" w:styleId="1251" w:customStyle="1">
    <w:name w:val="info1"/>
    <w:uiPriority w:val="99"/>
    <w:qFormat/>
    <w:rPr>
      <w:sz w:val="29"/>
    </w:rPr>
  </w:style>
  <w:style w:type="character" w:styleId="1252" w:customStyle="1">
    <w:name w:val="font11"/>
    <w:rPr>
      <w:rFonts w:hint="eastAsia" w:ascii="宋体" w:hAnsi="宋体" w:eastAsia="宋体" w:cs="宋体"/>
      <w:i w:val="0"/>
      <w:color w:val="000000"/>
      <w:sz w:val="22"/>
      <w:szCs w:val="22"/>
      <w:u w:val="none"/>
    </w:rPr>
  </w:style>
  <w:style w:type="character" w:styleId="1253" w:customStyle="1">
    <w:name w:val="引用 Char"/>
    <w:link w:val="1254"/>
    <w:uiPriority w:val="99"/>
    <w:qFormat/>
    <w:rPr>
      <w:rFonts w:eastAsia="仿宋_GB2312"/>
      <w:color w:val="000000"/>
      <w:sz w:val="24"/>
    </w:rPr>
  </w:style>
  <w:style w:type="paragraph" w:styleId="1254" w:customStyle="1">
    <w:name w:val="引用1"/>
    <w:basedOn w:val="786"/>
    <w:next w:val="786"/>
    <w:link w:val="1253"/>
    <w:uiPriority w:val="99"/>
    <w:qFormat/>
    <w:rPr>
      <w:rFonts w:eastAsia="仿宋_GB2312"/>
      <w:color w:val="000000"/>
      <w:sz w:val="24"/>
      <w:szCs w:val="20"/>
    </w:rPr>
  </w:style>
  <w:style w:type="character" w:styleId="1255" w:customStyle="1">
    <w:name w:val="已访问的超链接1"/>
    <w:uiPriority w:val="99"/>
    <w:qFormat/>
    <w:rPr>
      <w:rFonts w:ascii="Times New Roman"/>
    </w:rPr>
  </w:style>
  <w:style w:type="paragraph" w:styleId="1256" w:customStyle="1">
    <w:name w:val="Char Char Char Char1"/>
    <w:basedOn w:val="786"/>
    <w:uiPriority w:val="99"/>
    <w:qFormat/>
    <w:pPr>
      <w:ind w:firstLine="200"/>
      <w:spacing w:line="360" w:lineRule="auto"/>
    </w:pPr>
    <w:rPr>
      <w:szCs w:val="20"/>
    </w:rPr>
  </w:style>
  <w:style w:type="paragraph" w:styleId="1257" w:customStyle="1">
    <w:name w:val="xl105"/>
    <w:basedOn w:val="786"/>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58" w:customStyle="1">
    <w:name w:val="p0"/>
    <w:basedOn w:val="786"/>
    <w:uiPriority w:val="99"/>
    <w:qFormat/>
    <w:pPr>
      <w:widowControl/>
    </w:pPr>
    <w:rPr>
      <w:szCs w:val="20"/>
    </w:rPr>
  </w:style>
  <w:style w:type="paragraph" w:styleId="1259" w:customStyle="1">
    <w:name w:val="样式4"/>
    <w:basedOn w:val="788"/>
    <w:uiPriority w:val="99"/>
    <w:qFormat/>
    <w:pPr>
      <w:spacing w:before="0" w:line="240" w:lineRule="auto"/>
    </w:pPr>
    <w:rPr>
      <w:b w:val="0"/>
      <w:sz w:val="28"/>
    </w:rPr>
  </w:style>
  <w:style w:type="paragraph" w:styleId="1260" w:customStyle="1">
    <w:name w:val="Char Char Char1 Char4"/>
    <w:basedOn w:val="786"/>
    <w:uiPriority w:val="99"/>
    <w:qFormat/>
    <w:pPr>
      <w:ind w:firstLine="200"/>
      <w:spacing w:line="360" w:lineRule="auto"/>
    </w:pPr>
    <w:rPr>
      <w:rFonts w:ascii="宋体" w:hAnsi="宋体"/>
      <w:sz w:val="24"/>
      <w:szCs w:val="20"/>
    </w:rPr>
  </w:style>
  <w:style w:type="paragraph" w:styleId="1261" w:customStyle="1">
    <w:name w:val="Char Char Char Char"/>
    <w:basedOn w:val="786"/>
    <w:uiPriority w:val="99"/>
    <w:qFormat/>
    <w:rPr>
      <w:szCs w:val="20"/>
    </w:rPr>
  </w:style>
  <w:style w:type="paragraph" w:styleId="1262" w:customStyle="1">
    <w:name w:val="Char Char Char1 Char6"/>
    <w:basedOn w:val="786"/>
    <w:uiPriority w:val="99"/>
    <w:qFormat/>
    <w:pPr>
      <w:ind w:firstLine="200"/>
      <w:spacing w:line="360" w:lineRule="auto"/>
    </w:pPr>
    <w:rPr>
      <w:rFonts w:ascii="宋体" w:hAnsi="宋体"/>
      <w:sz w:val="24"/>
      <w:szCs w:val="20"/>
    </w:rPr>
  </w:style>
  <w:style w:type="paragraph" w:styleId="1263" w:customStyle="1">
    <w:name w:val="正文文本缩进 3 Char Char"/>
    <w:basedOn w:val="786"/>
    <w:uiPriority w:val="99"/>
    <w:qFormat/>
    <w:pPr>
      <w:ind w:firstLine="479"/>
      <w:spacing w:line="400" w:lineRule="exact"/>
    </w:pPr>
    <w:rPr>
      <w:rFonts w:ascii="仿宋_GB2312" w:eastAsia="仿宋_GB2312"/>
      <w:szCs w:val="20"/>
    </w:rPr>
  </w:style>
  <w:style w:type="paragraph" w:styleId="1264" w:customStyle="1">
    <w:name w:val="Char Char Char1 Char Char Char Char"/>
    <w:basedOn w:val="786"/>
    <w:uiPriority w:val="99"/>
    <w:qFormat/>
    <w:rPr>
      <w:rFonts w:ascii="宋体" w:hAnsi="宋体" w:cs="Courier New"/>
      <w:sz w:val="32"/>
      <w:szCs w:val="32"/>
    </w:rPr>
  </w:style>
  <w:style w:type="paragraph" w:styleId="1265" w:customStyle="1">
    <w:name w:val="xl103"/>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6" w:customStyle="1">
    <w:name w:val="样式1"/>
    <w:basedOn w:val="788"/>
    <w:uiPriority w:val="99"/>
    <w:qFormat/>
    <w:pPr>
      <w:spacing w:before="0" w:line="415" w:lineRule="auto"/>
    </w:pPr>
    <w:rPr>
      <w:b w:val="0"/>
      <w:sz w:val="28"/>
    </w:rPr>
  </w:style>
  <w:style w:type="paragraph" w:styleId="1267" w:customStyle="1">
    <w:name w:val="xl100"/>
    <w:basedOn w:val="78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68" w:customStyle="1">
    <w:name w:val="xl104"/>
    <w:basedOn w:val="7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69" w:customStyle="1">
    <w:name w:val="xl101"/>
    <w:basedOn w:val="786"/>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70" w:customStyle="1">
    <w:name w:val="Char Char Char1 Char8"/>
    <w:basedOn w:val="786"/>
    <w:uiPriority w:val="99"/>
    <w:qFormat/>
    <w:pPr>
      <w:ind w:firstLine="200"/>
      <w:spacing w:line="360" w:lineRule="auto"/>
    </w:pPr>
    <w:rPr>
      <w:szCs w:val="20"/>
    </w:rPr>
  </w:style>
  <w:style w:type="paragraph" w:styleId="1271" w:customStyle="1">
    <w:name w:val="Char Char Char1 Char5"/>
    <w:basedOn w:val="786"/>
    <w:uiPriority w:val="99"/>
    <w:qFormat/>
    <w:pPr>
      <w:ind w:firstLine="200"/>
      <w:spacing w:line="360" w:lineRule="auto"/>
    </w:pPr>
    <w:rPr>
      <w:rFonts w:ascii="宋体" w:hAnsi="宋体"/>
      <w:sz w:val="24"/>
      <w:szCs w:val="20"/>
    </w:rPr>
  </w:style>
  <w:style w:type="paragraph" w:styleId="1272" w:customStyle="1">
    <w:name w:val="普通(网站)1"/>
    <w:basedOn w:val="786"/>
    <w:uiPriority w:val="99"/>
    <w:qFormat/>
    <w:pPr>
      <w:jc w:val="left"/>
      <w:spacing w:before="100" w:beforeAutospacing="1" w:after="100" w:afterAutospacing="1"/>
      <w:widowControl/>
    </w:pPr>
    <w:rPr>
      <w:rFonts w:ascii="宋体" w:hAnsi="宋体"/>
      <w:sz w:val="24"/>
      <w:szCs w:val="20"/>
    </w:rPr>
  </w:style>
  <w:style w:type="paragraph" w:styleId="1273" w:customStyle="1">
    <w:name w:val="样式3"/>
    <w:basedOn w:val="788"/>
    <w:uiPriority w:val="99"/>
    <w:qFormat/>
    <w:pPr>
      <w:spacing w:before="0" w:line="240" w:lineRule="auto"/>
    </w:pPr>
    <w:rPr>
      <w:b w:val="0"/>
      <w:sz w:val="28"/>
    </w:rPr>
  </w:style>
  <w:style w:type="paragraph" w:styleId="1274" w:customStyle="1">
    <w:name w:val="xl106"/>
    <w:basedOn w:val="7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75" w:customStyle="1">
    <w:name w:val="_Style 49"/>
    <w:basedOn w:val="786"/>
    <w:next w:val="995"/>
    <w:uiPriority w:val="99"/>
    <w:qFormat/>
    <w:rPr>
      <w:rFonts w:ascii="宋体" w:hAnsi="Courier New"/>
      <w:sz w:val="24"/>
      <w:szCs w:val="20"/>
    </w:rPr>
  </w:style>
  <w:style w:type="paragraph" w:styleId="1276" w:customStyle="1">
    <w:name w:val="xl64"/>
    <w:basedOn w:val="7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7" w:customStyle="1">
    <w:name w:val="Char Char Char1 Char3"/>
    <w:basedOn w:val="786"/>
    <w:uiPriority w:val="99"/>
    <w:qFormat/>
    <w:pPr>
      <w:ind w:firstLine="200"/>
      <w:spacing w:line="360" w:lineRule="auto"/>
    </w:pPr>
    <w:rPr>
      <w:rFonts w:ascii="宋体" w:hAnsi="宋体"/>
      <w:sz w:val="24"/>
      <w:szCs w:val="20"/>
    </w:rPr>
  </w:style>
  <w:style w:type="paragraph" w:styleId="1278" w:customStyle="1">
    <w:name w:val="Char Char Char1 Char7"/>
    <w:basedOn w:val="786"/>
    <w:uiPriority w:val="99"/>
    <w:qFormat/>
    <w:pPr>
      <w:ind w:firstLine="200"/>
      <w:spacing w:line="360" w:lineRule="auto"/>
    </w:pPr>
    <w:rPr>
      <w:rFonts w:ascii="宋体" w:hAnsi="宋体"/>
      <w:sz w:val="24"/>
      <w:szCs w:val="20"/>
    </w:rPr>
  </w:style>
  <w:style w:type="paragraph" w:styleId="1279" w:customStyle="1">
    <w:name w:val="xl63"/>
    <w:basedOn w:val="7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80" w:customStyle="1">
    <w:name w:val="xl102"/>
    <w:basedOn w:val="78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81" w:customStyle="1">
    <w:name w:val="默认段落字体 Para Char Char Char Char Char Char Char Char Char1 Char Char Char Char Char Char Char Char"/>
    <w:basedOn w:val="983"/>
    <w:qFormat/>
  </w:style>
  <w:style w:type="paragraph" w:styleId="1282" w:customStyle="1">
    <w:name w:val="xl107"/>
    <w:basedOn w:val="7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3" w:customStyle="1">
    <w:name w:val="msonormal"/>
    <w:basedOn w:val="786"/>
    <w:pPr>
      <w:jc w:val="left"/>
      <w:spacing w:before="100" w:beforeAutospacing="1" w:after="100" w:afterAutospacing="1"/>
      <w:widowControl/>
    </w:pPr>
    <w:rPr>
      <w:rFonts w:ascii="宋体" w:hAnsi="宋体" w:cs="宋体"/>
      <w:sz w:val="24"/>
    </w:rPr>
  </w:style>
  <w:style w:type="character" w:styleId="1284" w:customStyle="1">
    <w:name w:val="批注文字 字符1"/>
    <w:uiPriority w:val="99"/>
    <w:qFormat/>
    <w:rPr>
      <w:sz w:val="21"/>
      <w:szCs w:val="24"/>
    </w:rPr>
  </w:style>
  <w:style w:type="paragraph" w:styleId="1285" w:customStyle="1">
    <w:name w:val="主要内容"/>
    <w:basedOn w:val="786"/>
    <w:qFormat/>
    <w:pPr>
      <w:ind w:firstLine="480"/>
      <w:spacing w:line="360" w:lineRule="auto"/>
      <w:widowControl/>
    </w:pPr>
    <w:rPr>
      <w:rFonts w:ascii="宋体" w:hAnsi="宋体"/>
      <w:bCs/>
      <w:color w:val="000000"/>
      <w:sz w:val="24"/>
      <w:szCs w:val="20"/>
    </w:rPr>
  </w:style>
  <w:style w:type="paragraph" w:styleId="1286" w:customStyle="1">
    <w:name w:val="Body text|1"/>
    <w:basedOn w:val="786"/>
    <w:qFormat/>
    <w:pPr>
      <w:ind w:firstLine="400"/>
      <w:jc w:val="left"/>
      <w:spacing w:line="360" w:lineRule="auto"/>
    </w:pPr>
    <w:rPr>
      <w:rFonts w:ascii="宋体" w:hAnsi="宋体" w:cs="宋体"/>
      <w:sz w:val="22"/>
      <w:szCs w:val="22"/>
      <w:lang w:val="zh-TW" w:eastAsia="zh-TW" w:bidi="zh-TW"/>
    </w:rPr>
  </w:style>
  <w:style w:type="character" w:styleId="1287" w:customStyle="1">
    <w:name w:val="NormalCharacter1"/>
    <w:qFormat/>
    <w:rPr>
      <w:rFonts w:ascii="Times New Roman" w:hAnsi="Times New Roman" w:eastAsia="宋体" w:cs="Times New Roman"/>
      <w:sz w:val="21"/>
      <w:szCs w:val="24"/>
      <w:lang w:val="en-US" w:eastAsia="zh-CN" w:bidi="ar-SA"/>
    </w:rPr>
  </w:style>
  <w:style w:type="character" w:styleId="1288" w:customStyle="1">
    <w:name w:val="列表段落 字符"/>
    <w:uiPriority w:val="34"/>
    <w:qFormat/>
    <w:rPr>
      <w:rFonts w:ascii="Calibri" w:hAnsi="Calibri" w:eastAsia="宋体"/>
    </w:rPr>
  </w:style>
  <w:style w:type="paragraph" w:styleId="1289" w:customStyle="1">
    <w:name w:val="正文_1"/>
    <w:qFormat/>
    <w:pPr>
      <w:jc w:val="both"/>
      <w:widowControl w:val="off"/>
    </w:pPr>
    <w:rPr>
      <w:sz w:val="21"/>
    </w:rPr>
  </w:style>
  <w:style w:type="character" w:styleId="1290" w:customStyle="1">
    <w:name w:val="normaltextrun"/>
    <w:qFormat/>
  </w:style>
  <w:style w:type="character" w:styleId="1291" w:customStyle="1">
    <w:name w:val="标题 1 Char"/>
    <w:uiPriority w:val="99"/>
    <w:qFormat/>
    <w:rPr>
      <w:rFonts w:ascii="宋体"/>
      <w:b/>
      <w:sz w:val="32"/>
    </w:rPr>
  </w:style>
  <w:style w:type="character" w:styleId="1292" w:customStyle="1">
    <w:name w:val="标题 2 Char1"/>
    <w:qFormat/>
    <w:rPr>
      <w:rFonts w:ascii="Arial" w:hAnsi="Arial" w:eastAsia="黑体"/>
      <w:b/>
      <w:sz w:val="30"/>
      <w:lang w:val="en-US" w:eastAsia="zh-CN" w:bidi="ar-SA"/>
    </w:rPr>
  </w:style>
  <w:style w:type="character" w:styleId="1293" w:customStyle="1">
    <w:name w:val="正文缩进 Char1"/>
    <w:qFormat/>
    <w:rPr>
      <w:rFonts w:ascii="宋体" w:eastAsia="宋体"/>
      <w:sz w:val="24"/>
      <w:szCs w:val="24"/>
      <w:lang w:val="en-US" w:eastAsia="zh-CN" w:bidi="ar-SA"/>
    </w:rPr>
  </w:style>
  <w:style w:type="character" w:styleId="1294" w:customStyle="1">
    <w:name w:val="标题 3 Char1"/>
    <w:uiPriority w:val="99"/>
    <w:qFormat/>
    <w:rPr>
      <w:rFonts w:ascii="宋体" w:eastAsia="宋体"/>
      <w:b/>
      <w:sz w:val="24"/>
      <w:u w:val="single"/>
      <w:lang w:val="en-US" w:eastAsia="zh-CN" w:bidi="ar-SA"/>
    </w:rPr>
  </w:style>
  <w:style w:type="character" w:styleId="1295" w:customStyle="1">
    <w:name w:val="标题 4 Char"/>
    <w:qFormat/>
    <w:rPr>
      <w:rFonts w:ascii="Arial" w:hAnsi="Arial" w:eastAsia="黑体"/>
      <w:b/>
      <w:sz w:val="28"/>
    </w:rPr>
  </w:style>
  <w:style w:type="character" w:styleId="1296" w:customStyle="1">
    <w:name w:val="标题 5 Char"/>
    <w:qFormat/>
    <w:rPr>
      <w:b/>
      <w:sz w:val="28"/>
    </w:rPr>
  </w:style>
  <w:style w:type="character" w:styleId="1297" w:customStyle="1">
    <w:name w:val="标题 6 Char"/>
    <w:qFormat/>
    <w:rPr>
      <w:rFonts w:ascii="Arial" w:hAnsi="Arial" w:eastAsia="黑体"/>
      <w:b/>
      <w:sz w:val="24"/>
    </w:rPr>
  </w:style>
  <w:style w:type="character" w:styleId="1298" w:customStyle="1">
    <w:name w:val="标题 7 Char"/>
    <w:qFormat/>
    <w:rPr>
      <w:b/>
      <w:sz w:val="24"/>
    </w:rPr>
  </w:style>
  <w:style w:type="character" w:styleId="1299" w:customStyle="1">
    <w:name w:val="标题 8 Char"/>
    <w:qFormat/>
    <w:rPr>
      <w:rFonts w:ascii="Arial" w:hAnsi="Arial" w:eastAsia="黑体"/>
      <w:sz w:val="24"/>
    </w:rPr>
  </w:style>
  <w:style w:type="character" w:styleId="1300" w:customStyle="1">
    <w:name w:val="标题 9 Char"/>
    <w:qFormat/>
    <w:rPr>
      <w:rFonts w:ascii="Arial" w:hAnsi="Arial" w:eastAsia="黑体"/>
      <w:sz w:val="21"/>
    </w:rPr>
  </w:style>
  <w:style w:type="character" w:styleId="1301" w:customStyle="1">
    <w:name w:val="文档结构图 Char"/>
    <w:qFormat/>
    <w:rPr>
      <w:sz w:val="21"/>
      <w:szCs w:val="24"/>
      <w:shd w:val="clear" w:color="auto" w:fill="000080"/>
    </w:rPr>
  </w:style>
  <w:style w:type="character" w:styleId="1302" w:customStyle="1">
    <w:name w:val="批注文字 Char1"/>
    <w:uiPriority w:val="99"/>
    <w:qFormat/>
    <w:rPr>
      <w:sz w:val="21"/>
      <w:szCs w:val="24"/>
    </w:rPr>
  </w:style>
  <w:style w:type="character" w:styleId="1303" w:customStyle="1">
    <w:name w:val="正文文本 3 Char"/>
    <w:qFormat/>
    <w:rPr>
      <w:sz w:val="16"/>
      <w:szCs w:val="16"/>
    </w:rPr>
  </w:style>
  <w:style w:type="character" w:styleId="1304" w:customStyle="1">
    <w:name w:val="正文文本 Char"/>
    <w:qFormat/>
    <w:rPr>
      <w:rFonts w:ascii="宋体" w:hAnsi="宋体"/>
      <w:sz w:val="24"/>
      <w:szCs w:val="24"/>
    </w:rPr>
  </w:style>
  <w:style w:type="character" w:styleId="1305" w:customStyle="1">
    <w:name w:val="正文文本缩进 Char2"/>
    <w:qFormat/>
    <w:rPr>
      <w:rFonts w:eastAsia="宋体"/>
      <w:sz w:val="24"/>
      <w:szCs w:val="24"/>
      <w:lang w:val="en-US" w:eastAsia="zh-CN" w:bidi="ar-SA"/>
    </w:rPr>
  </w:style>
  <w:style w:type="character" w:styleId="1306" w:customStyle="1">
    <w:name w:val="纯文本 Char"/>
    <w:uiPriority w:val="99"/>
    <w:qFormat/>
    <w:rPr>
      <w:rFonts w:hint="eastAsia" w:ascii="宋体" w:hAnsi="Courier New" w:eastAsia="宋体" w:cs="宋体"/>
      <w:sz w:val="21"/>
    </w:rPr>
  </w:style>
  <w:style w:type="character" w:styleId="1307" w:customStyle="1">
    <w:name w:val="日期 Char"/>
    <w:uiPriority w:val="99"/>
    <w:qFormat/>
    <w:rPr>
      <w:rFonts w:ascii="仿宋_GB2312" w:hAnsi="宋体" w:eastAsia="仿宋_GB2312"/>
      <w:color w:val="000000"/>
      <w:sz w:val="24"/>
      <w:szCs w:val="24"/>
    </w:rPr>
  </w:style>
  <w:style w:type="character" w:styleId="1308" w:customStyle="1">
    <w:name w:val="正文文本缩进 2 Char"/>
    <w:qFormat/>
    <w:rPr>
      <w:rFonts w:ascii="仿宋_GB2312" w:eastAsia="仿宋_GB2312"/>
      <w:sz w:val="24"/>
      <w:szCs w:val="24"/>
    </w:rPr>
  </w:style>
  <w:style w:type="character" w:styleId="1309" w:customStyle="1">
    <w:name w:val="批注框文本 Char"/>
    <w:uiPriority w:val="99"/>
    <w:qFormat/>
    <w:rPr>
      <w:sz w:val="18"/>
      <w:szCs w:val="18"/>
    </w:rPr>
  </w:style>
  <w:style w:type="character" w:styleId="1310" w:customStyle="1">
    <w:name w:val="页脚 Char1"/>
    <w:uiPriority w:val="99"/>
    <w:qFormat/>
    <w:rPr>
      <w:rFonts w:ascii="宋体" w:eastAsia="宋体"/>
      <w:sz w:val="18"/>
      <w:lang w:val="en-US" w:eastAsia="zh-CN" w:bidi="ar-SA"/>
    </w:rPr>
  </w:style>
  <w:style w:type="character" w:styleId="1311" w:customStyle="1">
    <w:name w:val="页眉 Char1"/>
    <w:qFormat/>
    <w:rPr>
      <w:rFonts w:eastAsia="宋体"/>
      <w:sz w:val="18"/>
      <w:szCs w:val="18"/>
      <w:lang w:val="en-US" w:eastAsia="zh-CN" w:bidi="ar-SA"/>
    </w:rPr>
  </w:style>
  <w:style w:type="character" w:styleId="1312" w:customStyle="1">
    <w:name w:val="正文文本缩进 3 Char"/>
    <w:qFormat/>
    <w:rPr>
      <w:rFonts w:ascii="宋体"/>
      <w:sz w:val="24"/>
    </w:rPr>
  </w:style>
  <w:style w:type="character" w:styleId="1313" w:customStyle="1">
    <w:name w:val="HTML 预设格式 Char"/>
    <w:qFormat/>
    <w:rPr>
      <w:rFonts w:ascii="宋体" w:hAnsi="宋体" w:cs="宋体"/>
      <w:sz w:val="24"/>
      <w:szCs w:val="24"/>
    </w:rPr>
  </w:style>
  <w:style w:type="character" w:styleId="1314" w:customStyle="1">
    <w:name w:val="标题 Char1"/>
    <w:qFormat/>
    <w:rPr>
      <w:b/>
      <w:sz w:val="32"/>
    </w:rPr>
  </w:style>
  <w:style w:type="character" w:styleId="1315" w:customStyle="1">
    <w:name w:val="批注主题 Char"/>
    <w:qFormat/>
    <w:rPr>
      <w:rFonts w:ascii="Times New Roman" w:hAnsi="Times New Roman" w:eastAsia="宋体" w:cs="Times New Roman"/>
      <w:b/>
      <w:bCs/>
      <w:sz w:val="21"/>
      <w:szCs w:val="24"/>
      <w:lang w:val="en-US" w:eastAsia="zh-CN" w:bidi="ar-SA"/>
    </w:rPr>
  </w:style>
  <w:style w:type="character" w:styleId="1316" w:customStyle="1">
    <w:name w:val="正文首行缩进 Char"/>
    <w:uiPriority w:val="99"/>
  </w:style>
  <w:style w:type="character" w:styleId="1317" w:customStyle="1">
    <w:name w:val="正文首行缩进 2 Char"/>
    <w:qFormat/>
    <w:rPr>
      <w:rFonts w:eastAsia="宋体"/>
      <w:sz w:val="24"/>
      <w:szCs w:val="24"/>
      <w:lang w:val="en-US" w:eastAsia="zh-CN" w:bidi="ar-SA"/>
    </w:rPr>
  </w:style>
  <w:style w:type="character" w:styleId="1318" w:customStyle="1">
    <w:name w:val="列出段落 Char1"/>
    <w:uiPriority w:val="34"/>
    <w:qFormat/>
    <w:rPr>
      <w:rFonts w:ascii="Calibri" w:hAnsi="Calibri" w:eastAsia="宋体"/>
      <w:sz w:val="21"/>
      <w:szCs w:val="22"/>
      <w:lang w:val="en-US" w:eastAsia="zh-CN" w:bidi="ar-SA"/>
    </w:rPr>
  </w:style>
  <w:style w:type="paragraph" w:styleId="1319" w:customStyle="1">
    <w:name w:val="_Style 2591"/>
    <w:uiPriority w:val="99"/>
    <w:qFormat/>
    <w:rPr>
      <w:sz w:val="21"/>
      <w:szCs w:val="24"/>
    </w:rPr>
  </w:style>
  <w:style w:type="character" w:styleId="1320" w:customStyle="1">
    <w:name w:val="font51"/>
    <w:qFormat/>
    <w:rPr>
      <w:rFonts w:hint="eastAsia" w:ascii="宋体" w:hAnsi="宋体" w:eastAsia="宋体" w:cs="宋体"/>
      <w:color w:val="000000"/>
      <w:sz w:val="18"/>
      <w:szCs w:val="18"/>
      <w:u w:val="none"/>
    </w:rPr>
  </w:style>
  <w:style w:type="character" w:styleId="1321" w:customStyle="1">
    <w:name w:val="font121"/>
    <w:qFormat/>
    <w:rPr>
      <w:rFonts w:hint="eastAsia" w:ascii="宋体" w:hAnsi="宋体" w:eastAsia="宋体" w:cs="宋体"/>
      <w:b/>
      <w:bCs/>
      <w:color w:val="000000"/>
      <w:sz w:val="18"/>
      <w:szCs w:val="18"/>
      <w:u w:val="none"/>
    </w:rPr>
  </w:style>
  <w:style w:type="character" w:styleId="1322" w:customStyle="1">
    <w:name w:val="font131"/>
    <w:qFormat/>
    <w:rPr>
      <w:rFonts w:ascii="Calibri" w:hAnsi="Calibri" w:cs="Calibri"/>
      <w:color w:val="000000"/>
      <w:sz w:val="18"/>
      <w:szCs w:val="18"/>
      <w:u w:val="none"/>
    </w:rPr>
  </w:style>
  <w:style w:type="table" w:styleId="1323" w:customStyle="1">
    <w:name w:val="无格式表格 12"/>
    <w:basedOn w:val="797"/>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24" w:customStyle="1">
    <w:name w:val="网格型浅色1"/>
    <w:basedOn w:val="797"/>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25" w:customStyle="1">
    <w:name w:val="Default Char"/>
    <w:link w:val="1023"/>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钟冠华</cp:lastModifiedBy>
  <cp:revision>30</cp:revision>
  <dcterms:created xsi:type="dcterms:W3CDTF">2025-11-17T07:15:00Z</dcterms:created>
  <dcterms:modified xsi:type="dcterms:W3CDTF">2025-11-20T06:41:04Z</dcterms:modified>
</cp:coreProperties>
</file>